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90AFD" w14:textId="4B56FEED" w:rsidR="001A3C68" w:rsidRPr="00DE692F" w:rsidRDefault="00FC4B96" w:rsidP="5F24C322">
      <w:pPr>
        <w:rPr>
          <w:rFonts w:asciiTheme="minorHAnsi" w:hAnsiTheme="minorHAnsi" w:cstheme="minorBidi"/>
          <w:b/>
          <w:bCs/>
          <w:sz w:val="20"/>
          <w:szCs w:val="20"/>
        </w:rPr>
      </w:pPr>
      <w:r w:rsidRPr="00DE692F">
        <w:rPr>
          <w:noProof/>
        </w:rPr>
        <w:drawing>
          <wp:anchor distT="0" distB="0" distL="114300" distR="114300" simplePos="0" relativeHeight="251658240" behindDoc="0" locked="0" layoutInCell="1" allowOverlap="1" wp14:anchorId="72369BC3" wp14:editId="1EAE8465">
            <wp:simplePos x="0" y="0"/>
            <wp:positionH relativeFrom="margin">
              <wp:posOffset>5490229</wp:posOffset>
            </wp:positionH>
            <wp:positionV relativeFrom="paragraph">
              <wp:posOffset>629</wp:posOffset>
            </wp:positionV>
            <wp:extent cx="452755" cy="1069340"/>
            <wp:effectExtent l="0" t="0" r="4445" b="0"/>
            <wp:wrapSquare wrapText="bothSides"/>
            <wp:docPr id="1" name="Imagen 1" descr="Resultado de imagen para logo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pnu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755" cy="1069340"/>
                    </a:xfrm>
                    <a:prstGeom prst="rect">
                      <a:avLst/>
                    </a:prstGeom>
                    <a:noFill/>
                    <a:ln>
                      <a:noFill/>
                    </a:ln>
                  </pic:spPr>
                </pic:pic>
              </a:graphicData>
            </a:graphic>
            <wp14:sizeRelH relativeFrom="page">
              <wp14:pctWidth>0</wp14:pctWidth>
            </wp14:sizeRelH>
            <wp14:sizeRelV relativeFrom="page">
              <wp14:pctHeight>0</wp14:pctHeight>
            </wp14:sizeRelV>
          </wp:anchor>
        </w:drawing>
      </w:r>
      <w:r w:rsidR="2AAFA16B" w:rsidRPr="00DE692F">
        <w:rPr>
          <w:rFonts w:asciiTheme="minorHAnsi" w:hAnsiTheme="minorHAnsi" w:cstheme="minorBidi"/>
          <w:b/>
          <w:bCs/>
          <w:sz w:val="20"/>
          <w:szCs w:val="20"/>
        </w:rPr>
        <w:t xml:space="preserve"> </w:t>
      </w:r>
    </w:p>
    <w:p w14:paraId="2C680485" w14:textId="05ACA376" w:rsidR="00264A4E" w:rsidRPr="00DE692F" w:rsidRDefault="00264A4E" w:rsidP="582CB6FB">
      <w:pPr>
        <w:rPr>
          <w:rFonts w:asciiTheme="minorHAnsi" w:eastAsiaTheme="minorEastAsia" w:hAnsiTheme="minorHAnsi" w:cstheme="minorBidi"/>
          <w:sz w:val="20"/>
          <w:szCs w:val="20"/>
        </w:rPr>
      </w:pPr>
    </w:p>
    <w:p w14:paraId="751D20CD" w14:textId="77777777" w:rsidR="00264A4E" w:rsidRPr="00DE692F" w:rsidRDefault="00264A4E" w:rsidP="78958753">
      <w:pPr>
        <w:rPr>
          <w:rFonts w:asciiTheme="minorHAnsi" w:eastAsiaTheme="minorEastAsia" w:hAnsiTheme="minorHAnsi" w:cstheme="minorHAnsi"/>
          <w:sz w:val="20"/>
          <w:szCs w:val="20"/>
        </w:rPr>
      </w:pPr>
    </w:p>
    <w:p w14:paraId="78D03ACD" w14:textId="11500297" w:rsidR="001A3C68" w:rsidRPr="00DE692F" w:rsidRDefault="001D3764" w:rsidP="00857A0F">
      <w:pPr>
        <w:spacing w:after="0"/>
        <w:jc w:val="center"/>
        <w:rPr>
          <w:rFonts w:asciiTheme="minorHAnsi" w:hAnsiTheme="minorHAnsi" w:cstheme="minorBidi"/>
          <w:b/>
          <w:bCs/>
          <w:sz w:val="28"/>
          <w:szCs w:val="28"/>
        </w:rPr>
      </w:pPr>
      <w:r w:rsidRPr="00DE692F">
        <w:rPr>
          <w:rFonts w:asciiTheme="minorHAnsi" w:hAnsiTheme="minorHAnsi" w:cstheme="minorBidi"/>
          <w:b/>
          <w:bCs/>
          <w:sz w:val="28"/>
          <w:szCs w:val="28"/>
        </w:rPr>
        <w:t xml:space="preserve">Informe de </w:t>
      </w:r>
      <w:r w:rsidR="00C042AE" w:rsidRPr="00DE692F">
        <w:rPr>
          <w:rFonts w:asciiTheme="minorHAnsi" w:hAnsiTheme="minorHAnsi" w:cstheme="minorBidi"/>
          <w:b/>
          <w:bCs/>
          <w:sz w:val="28"/>
          <w:szCs w:val="28"/>
        </w:rPr>
        <w:t>p</w:t>
      </w:r>
      <w:r w:rsidRPr="00DE692F">
        <w:rPr>
          <w:rFonts w:asciiTheme="minorHAnsi" w:hAnsiTheme="minorHAnsi" w:cstheme="minorBidi"/>
          <w:b/>
          <w:bCs/>
          <w:sz w:val="28"/>
          <w:szCs w:val="28"/>
        </w:rPr>
        <w:t xml:space="preserve">rogreso del </w:t>
      </w:r>
      <w:r w:rsidR="00C042AE" w:rsidRPr="00DE692F">
        <w:rPr>
          <w:rFonts w:asciiTheme="minorHAnsi" w:hAnsiTheme="minorHAnsi" w:cstheme="minorBidi"/>
          <w:b/>
          <w:bCs/>
          <w:sz w:val="28"/>
          <w:szCs w:val="28"/>
        </w:rPr>
        <w:t>p</w:t>
      </w:r>
      <w:r w:rsidRPr="00DE692F">
        <w:rPr>
          <w:rFonts w:asciiTheme="minorHAnsi" w:hAnsiTheme="minorHAnsi" w:cstheme="minorBidi"/>
          <w:b/>
          <w:bCs/>
          <w:sz w:val="28"/>
          <w:szCs w:val="28"/>
        </w:rPr>
        <w:t>royecto</w:t>
      </w:r>
    </w:p>
    <w:p w14:paraId="5205E360" w14:textId="75E47D72" w:rsidR="001A3C68" w:rsidRPr="00DE692F" w:rsidRDefault="001A3C68" w:rsidP="78958753">
      <w:pPr>
        <w:rPr>
          <w:rFonts w:asciiTheme="minorHAnsi" w:eastAsiaTheme="minorEastAsia" w:hAnsiTheme="minorHAnsi" w:cstheme="minorHAnsi"/>
          <w:sz w:val="20"/>
          <w:szCs w:val="20"/>
        </w:rPr>
      </w:pPr>
    </w:p>
    <w:tbl>
      <w:tblPr>
        <w:tblW w:w="8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8"/>
        <w:gridCol w:w="9"/>
        <w:gridCol w:w="5717"/>
      </w:tblGrid>
      <w:tr w:rsidR="008E077C" w:rsidRPr="00DE692F" w14:paraId="2BAED04C" w14:textId="77777777" w:rsidTr="582CB6FB">
        <w:trPr>
          <w:trHeight w:val="835"/>
        </w:trPr>
        <w:tc>
          <w:tcPr>
            <w:tcW w:w="3128" w:type="dxa"/>
            <w:shd w:val="clear" w:color="auto" w:fill="C0C0C0"/>
            <w:vAlign w:val="center"/>
          </w:tcPr>
          <w:p w14:paraId="50E7431B" w14:textId="5313E069"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Título del Proyecto:</w:t>
            </w:r>
          </w:p>
        </w:tc>
        <w:tc>
          <w:tcPr>
            <w:tcW w:w="5726" w:type="dxa"/>
            <w:gridSpan w:val="2"/>
            <w:vAlign w:val="center"/>
          </w:tcPr>
          <w:p w14:paraId="0A37501D" w14:textId="65F402EA"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Cadenas de valor libres de deforestación en la Amazonía peruana (Proyecto FOLUR)</w:t>
            </w:r>
          </w:p>
        </w:tc>
      </w:tr>
      <w:tr w:rsidR="008E077C" w:rsidRPr="00171953" w14:paraId="19023FA8" w14:textId="77777777" w:rsidTr="582CB6FB">
        <w:trPr>
          <w:trHeight w:val="610"/>
        </w:trPr>
        <w:tc>
          <w:tcPr>
            <w:tcW w:w="3128" w:type="dxa"/>
            <w:shd w:val="clear" w:color="auto" w:fill="C0C0C0"/>
            <w:vAlign w:val="center"/>
          </w:tcPr>
          <w:p w14:paraId="48104308" w14:textId="237754D4" w:rsidR="008E077C" w:rsidRPr="00DE692F" w:rsidRDefault="008E077C" w:rsidP="008E077C">
            <w:pPr>
              <w:tabs>
                <w:tab w:val="left" w:pos="4680"/>
              </w:tabs>
              <w:rPr>
                <w:rFonts w:asciiTheme="minorHAnsi" w:eastAsiaTheme="minorEastAsia" w:hAnsiTheme="minorHAnsi" w:cstheme="minorBidi"/>
                <w:b/>
                <w:bCs/>
                <w:sz w:val="20"/>
                <w:szCs w:val="20"/>
              </w:rPr>
            </w:pPr>
            <w:r w:rsidRPr="00DE692F">
              <w:rPr>
                <w:rFonts w:asciiTheme="minorHAnsi" w:eastAsiaTheme="minorEastAsia" w:hAnsiTheme="minorHAnsi" w:cstheme="minorBidi"/>
                <w:b/>
                <w:bCs/>
                <w:sz w:val="20"/>
                <w:szCs w:val="20"/>
              </w:rPr>
              <w:t>Número del proyecto:</w:t>
            </w:r>
          </w:p>
        </w:tc>
        <w:tc>
          <w:tcPr>
            <w:tcW w:w="5726" w:type="dxa"/>
            <w:gridSpan w:val="2"/>
            <w:vAlign w:val="center"/>
          </w:tcPr>
          <w:p w14:paraId="0E592660" w14:textId="77777777" w:rsidR="008E077C" w:rsidRPr="00783B61" w:rsidRDefault="008E077C" w:rsidP="008E077C">
            <w:pPr>
              <w:tabs>
                <w:tab w:val="left" w:pos="4680"/>
              </w:tabs>
              <w:jc w:val="left"/>
              <w:rPr>
                <w:rFonts w:asciiTheme="minorHAnsi" w:eastAsiaTheme="minorEastAsia" w:hAnsiTheme="minorHAnsi" w:cstheme="minorHAnsi"/>
                <w:iCs/>
                <w:sz w:val="20"/>
                <w:szCs w:val="20"/>
                <w:lang w:val="pt-PT"/>
              </w:rPr>
            </w:pPr>
            <w:r w:rsidRPr="00783B61">
              <w:rPr>
                <w:rFonts w:asciiTheme="minorHAnsi" w:eastAsiaTheme="minorEastAsia" w:hAnsiTheme="minorHAnsi" w:cstheme="minorHAnsi"/>
                <w:iCs/>
                <w:sz w:val="20"/>
                <w:szCs w:val="20"/>
                <w:lang w:val="pt-PT"/>
              </w:rPr>
              <w:t>GEF ID 10307 / PIMS 6387</w:t>
            </w:r>
          </w:p>
          <w:p w14:paraId="32E8689E" w14:textId="0D21E2A1" w:rsidR="008E077C" w:rsidRPr="00783B61" w:rsidRDefault="008E077C" w:rsidP="008E077C">
            <w:pPr>
              <w:tabs>
                <w:tab w:val="left" w:pos="4680"/>
              </w:tabs>
              <w:jc w:val="left"/>
              <w:rPr>
                <w:rFonts w:asciiTheme="minorHAnsi" w:eastAsiaTheme="minorEastAsia" w:hAnsiTheme="minorHAnsi" w:cstheme="minorHAnsi"/>
                <w:i/>
                <w:sz w:val="20"/>
                <w:szCs w:val="20"/>
                <w:lang w:val="pt-PT"/>
              </w:rPr>
            </w:pPr>
            <w:r w:rsidRPr="00783B61">
              <w:rPr>
                <w:rFonts w:asciiTheme="minorHAnsi" w:eastAsiaTheme="minorEastAsia" w:hAnsiTheme="minorHAnsi" w:cstheme="minorHAnsi"/>
                <w:iCs/>
                <w:sz w:val="20"/>
                <w:szCs w:val="20"/>
                <w:lang w:val="pt-PT"/>
              </w:rPr>
              <w:t>Quantum ID 00112238</w:t>
            </w:r>
          </w:p>
        </w:tc>
      </w:tr>
      <w:tr w:rsidR="008E077C" w:rsidRPr="00DE692F" w14:paraId="1EB5CB46" w14:textId="77777777" w:rsidTr="582CB6FB">
        <w:trPr>
          <w:trHeight w:val="547"/>
        </w:trPr>
        <w:tc>
          <w:tcPr>
            <w:tcW w:w="3128" w:type="dxa"/>
            <w:shd w:val="clear" w:color="auto" w:fill="C0C0C0"/>
            <w:vAlign w:val="center"/>
          </w:tcPr>
          <w:p w14:paraId="48BE629E" w14:textId="37BD79BA"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Periodo de referencia del informe:</w:t>
            </w:r>
          </w:p>
        </w:tc>
        <w:tc>
          <w:tcPr>
            <w:tcW w:w="5726" w:type="dxa"/>
            <w:gridSpan w:val="2"/>
            <w:vAlign w:val="center"/>
          </w:tcPr>
          <w:p w14:paraId="5DAB6C7B" w14:textId="73125668" w:rsidR="008E077C" w:rsidRPr="00DE692F" w:rsidRDefault="008E077C" w:rsidP="008E077C">
            <w:pPr>
              <w:tabs>
                <w:tab w:val="left" w:pos="4680"/>
              </w:tabs>
              <w:jc w:val="left"/>
              <w:rPr>
                <w:rFonts w:asciiTheme="minorHAnsi" w:eastAsiaTheme="minorEastAsia" w:hAnsiTheme="minorHAnsi" w:cstheme="minorHAnsi"/>
                <w:i/>
                <w:sz w:val="20"/>
                <w:szCs w:val="20"/>
              </w:rPr>
            </w:pPr>
            <w:r w:rsidRPr="00DE692F">
              <w:rPr>
                <w:rFonts w:asciiTheme="minorHAnsi" w:eastAsiaTheme="minorEastAsia" w:hAnsiTheme="minorHAnsi" w:cstheme="minorHAnsi"/>
                <w:iCs/>
                <w:sz w:val="20"/>
                <w:szCs w:val="20"/>
              </w:rPr>
              <w:t xml:space="preserve">Enero 2025 – </w:t>
            </w:r>
            <w:r w:rsidR="00FA4012" w:rsidRPr="00DE692F">
              <w:rPr>
                <w:rFonts w:asciiTheme="minorHAnsi" w:eastAsiaTheme="minorEastAsia" w:hAnsiTheme="minorHAnsi" w:cstheme="minorHAnsi"/>
                <w:iCs/>
                <w:sz w:val="20"/>
                <w:szCs w:val="20"/>
              </w:rPr>
              <w:t>diciembre</w:t>
            </w:r>
            <w:r w:rsidRPr="00DE692F">
              <w:rPr>
                <w:rFonts w:asciiTheme="minorHAnsi" w:eastAsiaTheme="minorEastAsia" w:hAnsiTheme="minorHAnsi" w:cstheme="minorHAnsi"/>
                <w:iCs/>
                <w:sz w:val="20"/>
                <w:szCs w:val="20"/>
              </w:rPr>
              <w:t xml:space="preserve"> 2025</w:t>
            </w:r>
          </w:p>
        </w:tc>
      </w:tr>
      <w:tr w:rsidR="008E077C" w:rsidRPr="00DE692F" w14:paraId="7AB50B5E" w14:textId="77777777" w:rsidTr="582CB6FB">
        <w:trPr>
          <w:trHeight w:val="485"/>
        </w:trPr>
        <w:tc>
          <w:tcPr>
            <w:tcW w:w="3128" w:type="dxa"/>
            <w:shd w:val="clear" w:color="auto" w:fill="C0C0C0"/>
            <w:vAlign w:val="center"/>
          </w:tcPr>
          <w:p w14:paraId="2801EFA5" w14:textId="38BC2115"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Realizado por:</w:t>
            </w:r>
          </w:p>
        </w:tc>
        <w:tc>
          <w:tcPr>
            <w:tcW w:w="5726" w:type="dxa"/>
            <w:gridSpan w:val="2"/>
            <w:vAlign w:val="center"/>
          </w:tcPr>
          <w:p w14:paraId="6A05A809" w14:textId="0B632400"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Unidad de Gestión del Proyecto FOLUR - DGEFA/MINAM</w:t>
            </w:r>
          </w:p>
        </w:tc>
      </w:tr>
      <w:tr w:rsidR="008E077C" w:rsidRPr="00DE692F" w14:paraId="28E9433E" w14:textId="77777777" w:rsidTr="582CB6FB">
        <w:trPr>
          <w:trHeight w:val="835"/>
        </w:trPr>
        <w:tc>
          <w:tcPr>
            <w:tcW w:w="3137" w:type="dxa"/>
            <w:gridSpan w:val="2"/>
            <w:shd w:val="clear" w:color="auto" w:fill="C0C0C0"/>
            <w:vAlign w:val="center"/>
          </w:tcPr>
          <w:p w14:paraId="435275CC" w14:textId="7B5031F3"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Output principal del CPD al cual responde el proyecto:</w:t>
            </w:r>
          </w:p>
        </w:tc>
        <w:tc>
          <w:tcPr>
            <w:tcW w:w="5717" w:type="dxa"/>
            <w:vAlign w:val="center"/>
          </w:tcPr>
          <w:p w14:paraId="0E27B00A" w14:textId="63C261BB"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Producto 2.1: Las partes interesadas públicas, privadas y de la sociedad civil refuerzan sus capacidades para conservar la biodiversidad y la naturaleza y reconocer su valor a fin de garantizar la resiliencia socioecológica y el desarrollo productivo sostenible, inclusivo y de bajas emisiones</w:t>
            </w:r>
          </w:p>
        </w:tc>
      </w:tr>
      <w:tr w:rsidR="008E077C" w:rsidRPr="00DE692F" w14:paraId="260ACC3C" w14:textId="77777777" w:rsidTr="582CB6FB">
        <w:trPr>
          <w:trHeight w:val="561"/>
        </w:trPr>
        <w:tc>
          <w:tcPr>
            <w:tcW w:w="3137" w:type="dxa"/>
            <w:gridSpan w:val="2"/>
            <w:shd w:val="clear" w:color="auto" w:fill="C0C0C0"/>
            <w:vAlign w:val="center"/>
          </w:tcPr>
          <w:p w14:paraId="5E0FECE4" w14:textId="7B3CE2E6"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Output(s) secundarios del CPD al cual responde el proyecto:</w:t>
            </w:r>
          </w:p>
        </w:tc>
        <w:tc>
          <w:tcPr>
            <w:tcW w:w="5717" w:type="dxa"/>
            <w:vAlign w:val="center"/>
          </w:tcPr>
          <w:p w14:paraId="23FFC3E4" w14:textId="2A9CD705"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Producto 3.2: Las partes interesadas públicas, privadas y de la sociedad civil de las cadenas de valor que llegan a los territorios vulnerables fortalecen sus capacidades, servicios e incentivos para promover la integración vertical, con énfasis en las mujeres y las personas en situación de vulnerabilidad</w:t>
            </w:r>
          </w:p>
        </w:tc>
      </w:tr>
      <w:tr w:rsidR="008E077C" w:rsidRPr="00DE692F" w14:paraId="266B231E" w14:textId="77777777" w:rsidTr="582CB6FB">
        <w:trPr>
          <w:trHeight w:val="555"/>
        </w:trPr>
        <w:tc>
          <w:tcPr>
            <w:tcW w:w="3137" w:type="dxa"/>
            <w:gridSpan w:val="2"/>
            <w:shd w:val="clear" w:color="auto" w:fill="C0C0C0"/>
            <w:vAlign w:val="center"/>
          </w:tcPr>
          <w:p w14:paraId="02FCB147" w14:textId="729A82C5"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Objetivo central o propósito del proyecto:</w:t>
            </w:r>
          </w:p>
        </w:tc>
        <w:tc>
          <w:tcPr>
            <w:tcW w:w="5717" w:type="dxa"/>
            <w:vAlign w:val="center"/>
          </w:tcPr>
          <w:p w14:paraId="60061E4C" w14:textId="27A5A59C"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Introducir modelos de producción de commodities sostenibles (libres de deforestación y rentables) y reducir la deforestación y degradación de la tierra causadas por la creciente producción no sostenible de commodities agrícolas en jurisdicciones económico-ecológicas críticas en la Amazonía noroccidental de Perú.</w:t>
            </w:r>
          </w:p>
        </w:tc>
      </w:tr>
      <w:tr w:rsidR="008E077C" w:rsidRPr="00DE692F" w14:paraId="1776AE3D" w14:textId="77777777" w:rsidTr="582CB6FB">
        <w:trPr>
          <w:trHeight w:val="555"/>
        </w:trPr>
        <w:tc>
          <w:tcPr>
            <w:tcW w:w="3137" w:type="dxa"/>
            <w:gridSpan w:val="2"/>
            <w:shd w:val="clear" w:color="auto" w:fill="C0C0C0"/>
            <w:vAlign w:val="center"/>
          </w:tcPr>
          <w:p w14:paraId="182AFACA" w14:textId="30A53E14"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Ámbito de intervención del proyecto:</w:t>
            </w:r>
          </w:p>
        </w:tc>
        <w:tc>
          <w:tcPr>
            <w:tcW w:w="5717" w:type="dxa"/>
            <w:vAlign w:val="center"/>
          </w:tcPr>
          <w:p w14:paraId="43E3DBDE" w14:textId="47FB8B4C"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Departamentos de San Martín (todas las provincias), Amazonas (provincias de Bagua, Bongará, Rodríguez de Mendoza y Uctubamba), Cajamarca (provincias de San Ignacio y Jaén) y Loreto (provincia de Alto Amazonas).</w:t>
            </w:r>
          </w:p>
        </w:tc>
      </w:tr>
      <w:tr w:rsidR="008E077C" w:rsidRPr="00DE692F" w14:paraId="226408E2" w14:textId="77777777" w:rsidTr="582CB6FB">
        <w:trPr>
          <w:trHeight w:val="555"/>
        </w:trPr>
        <w:tc>
          <w:tcPr>
            <w:tcW w:w="3137" w:type="dxa"/>
            <w:gridSpan w:val="2"/>
            <w:shd w:val="clear" w:color="auto" w:fill="C0C0C0"/>
            <w:vAlign w:val="center"/>
          </w:tcPr>
          <w:p w14:paraId="512D8C2B" w14:textId="4E4B452E"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Beneficiarios del proyecto (N.º y descripción):</w:t>
            </w:r>
          </w:p>
        </w:tc>
        <w:tc>
          <w:tcPr>
            <w:tcW w:w="5717" w:type="dxa"/>
            <w:vAlign w:val="center"/>
          </w:tcPr>
          <w:p w14:paraId="5B673B8A" w14:textId="4E3CA503"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Un total de 120,000 beneficiarios (54.000 mujeres y 66.000 hombres) que reciben apoyo del proyecto FOLUR para la mejora de medios de vida a través de commodities libres de deforestación y prácticas de restauración / conservación de tierras, así como de intervenciones sistémicas.</w:t>
            </w:r>
          </w:p>
        </w:tc>
      </w:tr>
      <w:tr w:rsidR="008E077C" w:rsidRPr="00DE692F" w14:paraId="753D258F" w14:textId="77777777" w:rsidTr="582CB6FB">
        <w:trPr>
          <w:trHeight w:val="495"/>
        </w:trPr>
        <w:tc>
          <w:tcPr>
            <w:tcW w:w="3137" w:type="dxa"/>
            <w:gridSpan w:val="2"/>
            <w:shd w:val="clear" w:color="auto" w:fill="C0C0C0"/>
            <w:vAlign w:val="center"/>
          </w:tcPr>
          <w:p w14:paraId="6F8588DE" w14:textId="38A9CD3A"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Fecha de inicio del proyecto:</w:t>
            </w:r>
          </w:p>
        </w:tc>
        <w:tc>
          <w:tcPr>
            <w:tcW w:w="5717" w:type="dxa"/>
            <w:vAlign w:val="center"/>
          </w:tcPr>
          <w:p w14:paraId="70E0A594" w14:textId="1C2D01A7"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Abril 2023</w:t>
            </w:r>
          </w:p>
        </w:tc>
      </w:tr>
      <w:tr w:rsidR="008E077C" w:rsidRPr="00DE692F" w14:paraId="09034A85" w14:textId="77777777" w:rsidTr="582CB6FB">
        <w:trPr>
          <w:trHeight w:val="417"/>
        </w:trPr>
        <w:tc>
          <w:tcPr>
            <w:tcW w:w="3137" w:type="dxa"/>
            <w:gridSpan w:val="2"/>
            <w:shd w:val="clear" w:color="auto" w:fill="C0C0C0"/>
            <w:vAlign w:val="center"/>
          </w:tcPr>
          <w:p w14:paraId="42F696B9" w14:textId="653309E7" w:rsidR="008E077C" w:rsidRPr="00DE692F" w:rsidRDefault="008E077C" w:rsidP="008E077C">
            <w:pPr>
              <w:tabs>
                <w:tab w:val="left" w:pos="4680"/>
              </w:tabs>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Fecha de finalización del proyecto:</w:t>
            </w:r>
          </w:p>
        </w:tc>
        <w:tc>
          <w:tcPr>
            <w:tcW w:w="5717" w:type="dxa"/>
            <w:vAlign w:val="center"/>
          </w:tcPr>
          <w:p w14:paraId="09011159" w14:textId="2BDBC96B" w:rsidR="008E077C" w:rsidRPr="00DE692F" w:rsidRDefault="008E077C" w:rsidP="008E077C">
            <w:pPr>
              <w:tabs>
                <w:tab w:val="left" w:pos="4680"/>
              </w:tabs>
              <w:jc w:val="left"/>
              <w:rPr>
                <w:rFonts w:asciiTheme="minorHAnsi" w:eastAsiaTheme="minorEastAsia" w:hAnsiTheme="minorHAnsi" w:cstheme="minorHAnsi"/>
                <w:sz w:val="20"/>
                <w:szCs w:val="20"/>
              </w:rPr>
            </w:pPr>
            <w:r w:rsidRPr="00DE692F">
              <w:rPr>
                <w:rFonts w:asciiTheme="minorHAnsi" w:eastAsiaTheme="minorEastAsia" w:hAnsiTheme="minorHAnsi" w:cstheme="minorHAnsi"/>
                <w:iCs/>
                <w:sz w:val="20"/>
                <w:szCs w:val="20"/>
              </w:rPr>
              <w:t>Abril 2029</w:t>
            </w:r>
          </w:p>
        </w:tc>
      </w:tr>
    </w:tbl>
    <w:p w14:paraId="53128261" w14:textId="49711181" w:rsidR="00264A4E" w:rsidRPr="00DE692F" w:rsidRDefault="00264A4E" w:rsidP="78958753">
      <w:pPr>
        <w:tabs>
          <w:tab w:val="left" w:pos="4680"/>
        </w:tabs>
        <w:rPr>
          <w:rFonts w:asciiTheme="minorHAnsi" w:eastAsiaTheme="minorEastAsia" w:hAnsiTheme="minorHAnsi" w:cstheme="minorHAnsi"/>
          <w:sz w:val="20"/>
          <w:szCs w:val="20"/>
        </w:rPr>
      </w:pPr>
    </w:p>
    <w:p w14:paraId="0000C874" w14:textId="37EB986C" w:rsidR="00DA7008" w:rsidRPr="00DE692F" w:rsidRDefault="00264A4E">
      <w:pPr>
        <w:spacing w:after="0"/>
        <w:jc w:val="left"/>
        <w:rPr>
          <w:rFonts w:asciiTheme="minorHAnsi" w:eastAsiaTheme="minorEastAsia" w:hAnsiTheme="minorHAnsi" w:cstheme="minorHAnsi"/>
          <w:b/>
          <w:bCs/>
          <w:sz w:val="20"/>
          <w:szCs w:val="20"/>
        </w:rPr>
        <w:sectPr w:rsidR="00DA7008" w:rsidRPr="00DE692F" w:rsidSect="002279A0">
          <w:footerReference w:type="default" r:id="rId12"/>
          <w:footerReference w:type="first" r:id="rId13"/>
          <w:pgSz w:w="11906" w:h="16838" w:code="9"/>
          <w:pgMar w:top="1080" w:right="1440" w:bottom="1080" w:left="1440" w:header="720" w:footer="432" w:gutter="0"/>
          <w:cols w:space="708"/>
          <w:titlePg/>
          <w:docGrid w:linePitch="360"/>
        </w:sectPr>
      </w:pPr>
      <w:r w:rsidRPr="00DE692F">
        <w:rPr>
          <w:rFonts w:asciiTheme="minorHAnsi" w:eastAsiaTheme="minorEastAsia" w:hAnsiTheme="minorHAnsi" w:cstheme="minorHAnsi"/>
          <w:sz w:val="20"/>
          <w:szCs w:val="20"/>
        </w:rPr>
        <w:br w:type="page"/>
      </w:r>
    </w:p>
    <w:p w14:paraId="374240CB" w14:textId="64433442" w:rsidR="00C066DD" w:rsidRPr="00DE692F" w:rsidRDefault="00B208AC" w:rsidP="00687A94">
      <w:pPr>
        <w:pStyle w:val="Prrafodelista"/>
        <w:numPr>
          <w:ilvl w:val="0"/>
          <w:numId w:val="21"/>
        </w:numPr>
        <w:tabs>
          <w:tab w:val="left" w:pos="4680"/>
        </w:tabs>
        <w:rPr>
          <w:rFonts w:asciiTheme="minorHAnsi" w:eastAsiaTheme="minorEastAsia" w:hAnsiTheme="minorHAnsi" w:cstheme="minorBidi"/>
          <w:sz w:val="20"/>
          <w:szCs w:val="20"/>
        </w:rPr>
      </w:pPr>
      <w:r w:rsidRPr="00DE692F">
        <w:rPr>
          <w:rFonts w:asciiTheme="minorHAnsi" w:eastAsiaTheme="minorEastAsia" w:hAnsiTheme="minorHAnsi" w:cstheme="minorBidi"/>
          <w:sz w:val="20"/>
          <w:szCs w:val="20"/>
        </w:rPr>
        <w:lastRenderedPageBreak/>
        <w:t xml:space="preserve">RESUMEN DE PRINCIPALES LOGROS </w:t>
      </w:r>
      <w:r w:rsidR="616A7357" w:rsidRPr="00DE692F">
        <w:rPr>
          <w:rFonts w:asciiTheme="minorHAnsi" w:eastAsiaTheme="minorEastAsia" w:hAnsiTheme="minorHAnsi" w:cstheme="minorBidi"/>
          <w:sz w:val="20"/>
          <w:szCs w:val="20"/>
        </w:rPr>
        <w:t>A NIVEL DE</w:t>
      </w:r>
      <w:r w:rsidR="00875690" w:rsidRPr="00DE692F">
        <w:rPr>
          <w:rFonts w:asciiTheme="minorHAnsi" w:eastAsiaTheme="minorEastAsia" w:hAnsiTheme="minorHAnsi" w:cstheme="minorBidi"/>
          <w:sz w:val="20"/>
          <w:szCs w:val="20"/>
        </w:rPr>
        <w:t xml:space="preserve"> OBJETIVO, </w:t>
      </w:r>
      <w:r w:rsidRPr="00DE692F">
        <w:rPr>
          <w:rFonts w:asciiTheme="minorHAnsi" w:eastAsiaTheme="minorEastAsia" w:hAnsiTheme="minorHAnsi" w:cstheme="minorBidi"/>
          <w:sz w:val="20"/>
          <w:szCs w:val="20"/>
        </w:rPr>
        <w:t>COMPONENTES Y/O RESULTADOS</w:t>
      </w:r>
      <w:r w:rsidR="68696435" w:rsidRPr="00DE692F">
        <w:rPr>
          <w:rFonts w:asciiTheme="minorHAnsi" w:eastAsiaTheme="minorEastAsia" w:hAnsiTheme="minorHAnsi" w:cstheme="minorBidi"/>
          <w:sz w:val="20"/>
          <w:szCs w:val="20"/>
        </w:rPr>
        <w:t xml:space="preserve"> </w:t>
      </w:r>
      <w:r w:rsidR="68696435" w:rsidRPr="00DE692F">
        <w:rPr>
          <w:rFonts w:asciiTheme="minorHAnsi" w:eastAsiaTheme="minorEastAsia" w:hAnsiTheme="minorHAnsi" w:cstheme="minorBidi"/>
          <w:color w:val="000000"/>
          <w:sz w:val="20"/>
          <w:szCs w:val="20"/>
          <w:lang w:eastAsia="es-PE"/>
        </w:rPr>
        <w:t xml:space="preserve">(Omitir sección en caso no </w:t>
      </w:r>
      <w:r w:rsidR="006D724B" w:rsidRPr="00DE692F">
        <w:rPr>
          <w:rFonts w:asciiTheme="minorHAnsi" w:eastAsiaTheme="minorEastAsia" w:hAnsiTheme="minorHAnsi" w:cstheme="minorBidi"/>
          <w:color w:val="000000"/>
          <w:sz w:val="20"/>
          <w:szCs w:val="20"/>
          <w:lang w:eastAsia="es-PE"/>
        </w:rPr>
        <w:t>corresponda)</w:t>
      </w:r>
      <w:r w:rsidR="68696435" w:rsidRPr="00DE692F">
        <w:rPr>
          <w:rFonts w:asciiTheme="minorHAnsi" w:eastAsiaTheme="minorEastAsia" w:hAnsiTheme="minorHAnsi" w:cstheme="minorBidi"/>
          <w:color w:val="000000"/>
          <w:sz w:val="20"/>
          <w:szCs w:val="20"/>
          <w:lang w:eastAsia="es-PE"/>
        </w:rPr>
        <w:t xml:space="preserve"> </w:t>
      </w:r>
    </w:p>
    <w:p w14:paraId="13BE74CD" w14:textId="3E6EC598" w:rsidR="00923F99" w:rsidRPr="00DE692F" w:rsidRDefault="000A1DB0" w:rsidP="582CB6FB">
      <w:pPr>
        <w:tabs>
          <w:tab w:val="left" w:pos="4680"/>
        </w:tabs>
        <w:rPr>
          <w:rFonts w:asciiTheme="minorHAnsi" w:eastAsiaTheme="minorEastAsia" w:hAnsiTheme="minorHAnsi" w:cstheme="minorBidi"/>
          <w:sz w:val="20"/>
          <w:szCs w:val="20"/>
        </w:rPr>
      </w:pPr>
      <w:r w:rsidRPr="00DE692F">
        <w:rPr>
          <w:rFonts w:asciiTheme="minorHAnsi" w:eastAsiaTheme="minorEastAsia" w:hAnsiTheme="minorHAnsi" w:cstheme="minorBidi"/>
          <w:sz w:val="20"/>
          <w:szCs w:val="20"/>
        </w:rPr>
        <w:t>Complet</w:t>
      </w:r>
      <w:r w:rsidR="006473AC" w:rsidRPr="00DE692F">
        <w:rPr>
          <w:rFonts w:asciiTheme="minorHAnsi" w:eastAsiaTheme="minorEastAsia" w:hAnsiTheme="minorHAnsi" w:cstheme="minorBidi"/>
          <w:sz w:val="20"/>
          <w:szCs w:val="20"/>
        </w:rPr>
        <w:t>ar</w:t>
      </w:r>
      <w:r w:rsidRPr="00DE692F">
        <w:rPr>
          <w:rFonts w:asciiTheme="minorHAnsi" w:eastAsiaTheme="minorEastAsia" w:hAnsiTheme="minorHAnsi" w:cstheme="minorBidi"/>
          <w:sz w:val="20"/>
          <w:szCs w:val="20"/>
        </w:rPr>
        <w:t xml:space="preserve"> el siguiente cuadro con </w:t>
      </w:r>
      <w:r w:rsidR="66346728" w:rsidRPr="00DE692F">
        <w:rPr>
          <w:rFonts w:asciiTheme="minorHAnsi" w:eastAsiaTheme="minorEastAsia" w:hAnsiTheme="minorHAnsi" w:cstheme="minorBidi"/>
          <w:sz w:val="20"/>
          <w:szCs w:val="20"/>
        </w:rPr>
        <w:t xml:space="preserve">la valoración del progreso de los componentes y/o </w:t>
      </w:r>
      <w:r w:rsidR="00EB079E" w:rsidRPr="00DE692F">
        <w:rPr>
          <w:rFonts w:asciiTheme="minorHAnsi" w:eastAsiaTheme="minorEastAsia" w:hAnsiTheme="minorHAnsi" w:cstheme="minorBidi"/>
          <w:sz w:val="20"/>
          <w:szCs w:val="20"/>
        </w:rPr>
        <w:t xml:space="preserve">resultados </w:t>
      </w:r>
      <w:r w:rsidRPr="00DE692F">
        <w:rPr>
          <w:rFonts w:asciiTheme="minorHAnsi" w:eastAsiaTheme="minorEastAsia" w:hAnsiTheme="minorHAnsi" w:cstheme="minorBidi"/>
          <w:sz w:val="20"/>
          <w:szCs w:val="20"/>
        </w:rPr>
        <w:t xml:space="preserve">del proyecto establecidos en su </w:t>
      </w:r>
      <w:r w:rsidR="29026876" w:rsidRPr="00DE692F">
        <w:rPr>
          <w:rFonts w:asciiTheme="minorHAnsi" w:eastAsiaTheme="minorEastAsia" w:hAnsiTheme="minorHAnsi" w:cstheme="minorBidi"/>
          <w:sz w:val="20"/>
          <w:szCs w:val="20"/>
        </w:rPr>
        <w:t>d</w:t>
      </w:r>
      <w:r w:rsidRPr="00DE692F">
        <w:rPr>
          <w:rFonts w:asciiTheme="minorHAnsi" w:eastAsiaTheme="minorEastAsia" w:hAnsiTheme="minorHAnsi" w:cstheme="minorBidi"/>
          <w:sz w:val="20"/>
          <w:szCs w:val="20"/>
        </w:rPr>
        <w:t xml:space="preserve">ocumento de </w:t>
      </w:r>
      <w:r w:rsidR="4BFEB697" w:rsidRPr="00DE692F">
        <w:rPr>
          <w:rFonts w:asciiTheme="minorHAnsi" w:eastAsiaTheme="minorEastAsia" w:hAnsiTheme="minorHAnsi" w:cstheme="minorBidi"/>
          <w:sz w:val="20"/>
          <w:szCs w:val="20"/>
        </w:rPr>
        <w:t>p</w:t>
      </w:r>
      <w:r w:rsidRPr="00DE692F">
        <w:rPr>
          <w:rFonts w:asciiTheme="minorHAnsi" w:eastAsiaTheme="minorEastAsia" w:hAnsiTheme="minorHAnsi" w:cstheme="minorBidi"/>
          <w:sz w:val="20"/>
          <w:szCs w:val="20"/>
        </w:rPr>
        <w:t xml:space="preserve">royecto. </w:t>
      </w:r>
      <w:r w:rsidR="00B57F19" w:rsidRPr="00DE692F">
        <w:rPr>
          <w:rFonts w:asciiTheme="minorHAnsi" w:eastAsiaTheme="minorEastAsia" w:hAnsiTheme="minorHAnsi" w:cstheme="minorBidi"/>
          <w:sz w:val="20"/>
          <w:szCs w:val="20"/>
        </w:rPr>
        <w:t xml:space="preserve">Estos componentes y/o resultados </w:t>
      </w:r>
      <w:r w:rsidR="00B65E49" w:rsidRPr="00DE692F">
        <w:rPr>
          <w:rFonts w:asciiTheme="minorHAnsi" w:eastAsiaTheme="minorEastAsia" w:hAnsiTheme="minorHAnsi" w:cstheme="minorBidi"/>
          <w:sz w:val="20"/>
          <w:szCs w:val="20"/>
        </w:rPr>
        <w:t xml:space="preserve">se suelen </w:t>
      </w:r>
      <w:r w:rsidR="00827262" w:rsidRPr="00DE692F">
        <w:rPr>
          <w:rFonts w:asciiTheme="minorHAnsi" w:eastAsiaTheme="minorEastAsia" w:hAnsiTheme="minorHAnsi" w:cstheme="minorBidi"/>
          <w:sz w:val="20"/>
          <w:szCs w:val="20"/>
        </w:rPr>
        <w:t>alcanzar</w:t>
      </w:r>
      <w:r w:rsidR="00B65E49" w:rsidRPr="00DE692F">
        <w:rPr>
          <w:rFonts w:asciiTheme="minorHAnsi" w:eastAsiaTheme="minorEastAsia" w:hAnsiTheme="minorHAnsi" w:cstheme="minorBidi"/>
          <w:sz w:val="20"/>
          <w:szCs w:val="20"/>
        </w:rPr>
        <w:t xml:space="preserve"> </w:t>
      </w:r>
      <w:r w:rsidR="00ED36FE" w:rsidRPr="00DE692F">
        <w:rPr>
          <w:rFonts w:asciiTheme="minorHAnsi" w:eastAsiaTheme="minorEastAsia" w:hAnsiTheme="minorHAnsi" w:cstheme="minorBidi"/>
          <w:sz w:val="20"/>
          <w:szCs w:val="20"/>
        </w:rPr>
        <w:t xml:space="preserve">en el medio </w:t>
      </w:r>
      <w:r w:rsidR="00827262" w:rsidRPr="00DE692F">
        <w:rPr>
          <w:rFonts w:asciiTheme="minorHAnsi" w:eastAsiaTheme="minorEastAsia" w:hAnsiTheme="minorHAnsi" w:cstheme="minorBidi"/>
          <w:sz w:val="20"/>
          <w:szCs w:val="20"/>
        </w:rPr>
        <w:t xml:space="preserve">o largo </w:t>
      </w:r>
      <w:r w:rsidR="00ED36FE" w:rsidRPr="00DE692F">
        <w:rPr>
          <w:rFonts w:asciiTheme="minorHAnsi" w:eastAsiaTheme="minorEastAsia" w:hAnsiTheme="minorHAnsi" w:cstheme="minorBidi"/>
          <w:sz w:val="20"/>
          <w:szCs w:val="20"/>
        </w:rPr>
        <w:t>plazo</w:t>
      </w:r>
      <w:r w:rsidR="00330111" w:rsidRPr="00DE692F">
        <w:rPr>
          <w:rFonts w:asciiTheme="minorHAnsi" w:eastAsiaTheme="minorEastAsia" w:hAnsiTheme="minorHAnsi" w:cstheme="minorBidi"/>
          <w:sz w:val="20"/>
          <w:szCs w:val="20"/>
        </w:rPr>
        <w:t xml:space="preserve">, </w:t>
      </w:r>
      <w:r w:rsidR="001A6EC8" w:rsidRPr="00DE692F">
        <w:rPr>
          <w:rFonts w:asciiTheme="minorHAnsi" w:eastAsiaTheme="minorEastAsia" w:hAnsiTheme="minorHAnsi" w:cstheme="minorBidi"/>
          <w:sz w:val="20"/>
          <w:szCs w:val="20"/>
        </w:rPr>
        <w:t>por lo que</w:t>
      </w:r>
      <w:r w:rsidR="00330111" w:rsidRPr="00DE692F">
        <w:rPr>
          <w:rFonts w:asciiTheme="minorHAnsi" w:eastAsiaTheme="minorEastAsia" w:hAnsiTheme="minorHAnsi" w:cstheme="minorBidi"/>
          <w:sz w:val="20"/>
          <w:szCs w:val="20"/>
        </w:rPr>
        <w:t xml:space="preserve"> en este cuadro </w:t>
      </w:r>
      <w:r w:rsidR="006B3266" w:rsidRPr="00DE692F">
        <w:rPr>
          <w:rFonts w:asciiTheme="minorHAnsi" w:eastAsiaTheme="minorEastAsia" w:hAnsiTheme="minorHAnsi" w:cstheme="minorBidi"/>
          <w:sz w:val="20"/>
          <w:szCs w:val="20"/>
        </w:rPr>
        <w:t xml:space="preserve">se </w:t>
      </w:r>
      <w:r w:rsidR="00241AB8" w:rsidRPr="00DE692F">
        <w:rPr>
          <w:rFonts w:asciiTheme="minorHAnsi" w:eastAsiaTheme="minorEastAsia" w:hAnsiTheme="minorHAnsi" w:cstheme="minorBidi"/>
          <w:sz w:val="20"/>
          <w:szCs w:val="20"/>
        </w:rPr>
        <w:t>registra</w:t>
      </w:r>
      <w:r w:rsidR="00B65E49" w:rsidRPr="00DE692F">
        <w:rPr>
          <w:rFonts w:asciiTheme="minorHAnsi" w:eastAsiaTheme="minorEastAsia" w:hAnsiTheme="minorHAnsi" w:cstheme="minorBidi"/>
          <w:sz w:val="20"/>
          <w:szCs w:val="20"/>
        </w:rPr>
        <w:t xml:space="preserve"> </w:t>
      </w:r>
      <w:r w:rsidR="00301128" w:rsidRPr="00DE692F">
        <w:rPr>
          <w:rFonts w:asciiTheme="minorHAnsi" w:eastAsiaTheme="minorEastAsia" w:hAnsiTheme="minorHAnsi" w:cstheme="minorBidi"/>
          <w:sz w:val="20"/>
          <w:szCs w:val="20"/>
        </w:rPr>
        <w:t>su progreso</w:t>
      </w:r>
      <w:r w:rsidR="00241AB8" w:rsidRPr="00DE692F">
        <w:rPr>
          <w:rFonts w:asciiTheme="minorHAnsi" w:eastAsiaTheme="minorEastAsia" w:hAnsiTheme="minorHAnsi" w:cstheme="minorBidi"/>
          <w:sz w:val="20"/>
          <w:szCs w:val="20"/>
        </w:rPr>
        <w:t xml:space="preserve"> cualitativo</w:t>
      </w:r>
      <w:r w:rsidR="00301128" w:rsidRPr="00DE692F">
        <w:rPr>
          <w:rFonts w:asciiTheme="minorHAnsi" w:eastAsiaTheme="minorEastAsia" w:hAnsiTheme="minorHAnsi" w:cstheme="minorBidi"/>
          <w:sz w:val="20"/>
          <w:szCs w:val="20"/>
        </w:rPr>
        <w:t>.</w:t>
      </w:r>
      <w:r w:rsidR="00603E49" w:rsidRPr="00DE692F">
        <w:rPr>
          <w:rFonts w:asciiTheme="minorHAnsi" w:eastAsiaTheme="minorEastAsia" w:hAnsiTheme="minorHAnsi" w:cstheme="minorBidi"/>
          <w:sz w:val="20"/>
          <w:szCs w:val="20"/>
        </w:rPr>
        <w:t xml:space="preserve"> </w:t>
      </w:r>
    </w:p>
    <w:p w14:paraId="6FA31C96" w14:textId="77777777" w:rsidR="00C066DD" w:rsidRPr="00DE692F" w:rsidRDefault="00C066DD" w:rsidP="78958753">
      <w:pPr>
        <w:tabs>
          <w:tab w:val="left" w:pos="4680"/>
        </w:tabs>
        <w:rPr>
          <w:rFonts w:asciiTheme="minorHAnsi" w:eastAsiaTheme="minorEastAsia" w:hAnsiTheme="minorHAnsi" w:cstheme="minorHAnsi"/>
          <w:b/>
          <w:bCs/>
          <w:sz w:val="20"/>
          <w:szCs w:val="20"/>
        </w:rPr>
      </w:pPr>
    </w:p>
    <w:tbl>
      <w:tblPr>
        <w:tblpPr w:leftFromText="180" w:rightFromText="180" w:vertAnchor="text" w:horzAnchor="margin" w:tblpY="-16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1628"/>
        <w:gridCol w:w="1426"/>
        <w:gridCol w:w="1701"/>
        <w:gridCol w:w="1657"/>
        <w:gridCol w:w="1420"/>
        <w:gridCol w:w="4647"/>
      </w:tblGrid>
      <w:tr w:rsidR="009B1DCD" w:rsidRPr="00DE692F" w14:paraId="7A2E48B5" w14:textId="77777777" w:rsidTr="00D61877">
        <w:trPr>
          <w:trHeight w:val="334"/>
          <w:tblHeader/>
        </w:trPr>
        <w:tc>
          <w:tcPr>
            <w:tcW w:w="746" w:type="pct"/>
            <w:shd w:val="clear" w:color="auto" w:fill="BFBFBF" w:themeFill="background1" w:themeFillShade="BF"/>
            <w:vAlign w:val="center"/>
          </w:tcPr>
          <w:p w14:paraId="3A178438" w14:textId="4E65FEF3"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lastRenderedPageBreak/>
              <w:t>Objetivo, componentes y/o Resultados de Proyecto</w:t>
            </w:r>
            <w:r w:rsidRPr="00DE692F">
              <w:rPr>
                <w:rStyle w:val="Refdenotaalpie"/>
                <w:rFonts w:asciiTheme="majorHAnsi" w:eastAsiaTheme="minorEastAsia" w:hAnsiTheme="majorHAnsi" w:cstheme="majorHAnsi"/>
                <w:b/>
                <w:bCs/>
                <w:sz w:val="16"/>
                <w:szCs w:val="16"/>
              </w:rPr>
              <w:footnoteReference w:id="2"/>
            </w:r>
          </w:p>
        </w:tc>
        <w:tc>
          <w:tcPr>
            <w:tcW w:w="555" w:type="pct"/>
            <w:shd w:val="clear" w:color="auto" w:fill="BFBFBF" w:themeFill="background1" w:themeFillShade="BF"/>
            <w:vAlign w:val="center"/>
          </w:tcPr>
          <w:p w14:paraId="299373B4" w14:textId="1747739F"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Indicadores</w:t>
            </w:r>
          </w:p>
        </w:tc>
        <w:tc>
          <w:tcPr>
            <w:tcW w:w="486" w:type="pct"/>
            <w:shd w:val="clear" w:color="auto" w:fill="BFBFBF" w:themeFill="background1" w:themeFillShade="BF"/>
            <w:vAlign w:val="center"/>
          </w:tcPr>
          <w:p w14:paraId="2AF8659F" w14:textId="32EEBFA8"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Línea de Base</w:t>
            </w:r>
          </w:p>
        </w:tc>
        <w:tc>
          <w:tcPr>
            <w:tcW w:w="580" w:type="pct"/>
            <w:shd w:val="clear" w:color="auto" w:fill="BFBFBF" w:themeFill="background1" w:themeFillShade="BF"/>
            <w:vAlign w:val="center"/>
          </w:tcPr>
          <w:p w14:paraId="46C4F9AE" w14:textId="27BCF588"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Meta a medio plazo</w:t>
            </w:r>
            <w:r w:rsidRPr="00DE692F">
              <w:rPr>
                <w:rStyle w:val="Refdenotaalpie"/>
                <w:rFonts w:asciiTheme="majorHAnsi" w:eastAsiaTheme="minorEastAsia" w:hAnsiTheme="majorHAnsi" w:cstheme="majorHAnsi"/>
                <w:b/>
                <w:bCs/>
                <w:sz w:val="16"/>
                <w:szCs w:val="16"/>
              </w:rPr>
              <w:footnoteReference w:id="3"/>
            </w:r>
          </w:p>
        </w:tc>
        <w:tc>
          <w:tcPr>
            <w:tcW w:w="565" w:type="pct"/>
            <w:shd w:val="clear" w:color="auto" w:fill="BFBFBF" w:themeFill="background1" w:themeFillShade="BF"/>
            <w:vAlign w:val="center"/>
          </w:tcPr>
          <w:p w14:paraId="7CF83E9B" w14:textId="30C76FF8" w:rsidR="00175B94" w:rsidRPr="00DE692F" w:rsidRDefault="00175B94" w:rsidP="00175B94">
            <w:pPr>
              <w:jc w:val="center"/>
              <w:rPr>
                <w:rFonts w:asciiTheme="majorHAnsi" w:eastAsiaTheme="minorEastAsia" w:hAnsiTheme="majorHAnsi" w:cstheme="majorHAnsi"/>
                <w:b/>
                <w:bCs/>
                <w:sz w:val="16"/>
                <w:szCs w:val="16"/>
                <w:highlight w:val="yellow"/>
              </w:rPr>
            </w:pPr>
            <w:r w:rsidRPr="00DE692F">
              <w:rPr>
                <w:rFonts w:asciiTheme="majorHAnsi" w:eastAsiaTheme="minorEastAsia" w:hAnsiTheme="majorHAnsi" w:cstheme="majorHAnsi"/>
                <w:b/>
                <w:bCs/>
                <w:sz w:val="16"/>
                <w:szCs w:val="16"/>
              </w:rPr>
              <w:t>Meta al finalizar el proyecto</w:t>
            </w:r>
            <w:r w:rsidRPr="00DE692F">
              <w:rPr>
                <w:rStyle w:val="Refdenotaalpie"/>
                <w:rFonts w:asciiTheme="majorHAnsi" w:eastAsiaTheme="minorEastAsia" w:hAnsiTheme="majorHAnsi" w:cstheme="majorHAnsi"/>
                <w:b/>
                <w:bCs/>
                <w:sz w:val="16"/>
                <w:szCs w:val="16"/>
              </w:rPr>
              <w:footnoteReference w:id="4"/>
            </w:r>
          </w:p>
        </w:tc>
        <w:tc>
          <w:tcPr>
            <w:tcW w:w="484" w:type="pct"/>
            <w:shd w:val="clear" w:color="auto" w:fill="BFBFBF" w:themeFill="background1" w:themeFillShade="BF"/>
            <w:vAlign w:val="center"/>
          </w:tcPr>
          <w:p w14:paraId="7C2923AB" w14:textId="4179E94E"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Valoración del progreso</w:t>
            </w:r>
          </w:p>
          <w:p w14:paraId="7EDECD94" w14:textId="7E577E5C"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(Ver escala de valoración)</w:t>
            </w:r>
          </w:p>
        </w:tc>
        <w:tc>
          <w:tcPr>
            <w:tcW w:w="1585" w:type="pct"/>
            <w:shd w:val="clear" w:color="auto" w:fill="BFBFBF" w:themeFill="background1" w:themeFillShade="BF"/>
            <w:vAlign w:val="center"/>
          </w:tcPr>
          <w:p w14:paraId="244A333D" w14:textId="59697F49" w:rsidR="00175B94" w:rsidRPr="00DE692F" w:rsidRDefault="00175B94" w:rsidP="00175B94">
            <w:pPr>
              <w:jc w:val="center"/>
              <w:rPr>
                <w:rFonts w:asciiTheme="majorHAnsi" w:eastAsiaTheme="minorEastAsia" w:hAnsiTheme="majorHAnsi" w:cstheme="majorHAnsi"/>
                <w:b/>
                <w:bCs/>
                <w:sz w:val="16"/>
                <w:szCs w:val="16"/>
              </w:rPr>
            </w:pPr>
            <w:r w:rsidRPr="00DE692F">
              <w:rPr>
                <w:rFonts w:asciiTheme="majorHAnsi" w:eastAsiaTheme="minorEastAsia" w:hAnsiTheme="majorHAnsi" w:cstheme="majorHAnsi"/>
                <w:b/>
                <w:bCs/>
                <w:sz w:val="16"/>
                <w:szCs w:val="16"/>
              </w:rPr>
              <w:t xml:space="preserve">Justificación </w:t>
            </w:r>
          </w:p>
          <w:p w14:paraId="5145AF3E" w14:textId="640DD4ED" w:rsidR="00175B94" w:rsidRPr="00DE692F" w:rsidRDefault="00175B94" w:rsidP="00175B94">
            <w:pPr>
              <w:jc w:val="center"/>
              <w:rPr>
                <w:rFonts w:asciiTheme="majorHAnsi" w:eastAsiaTheme="minorEastAsia" w:hAnsiTheme="majorHAnsi" w:cstheme="majorHAnsi"/>
                <w:b/>
                <w:bCs/>
                <w:color w:val="FF0000"/>
                <w:sz w:val="16"/>
                <w:szCs w:val="16"/>
              </w:rPr>
            </w:pPr>
            <w:r w:rsidRPr="00DE692F">
              <w:rPr>
                <w:rFonts w:asciiTheme="majorHAnsi" w:eastAsiaTheme="minorEastAsia" w:hAnsiTheme="majorHAnsi" w:cstheme="majorHAnsi"/>
                <w:b/>
                <w:bCs/>
                <w:color w:val="FF0000"/>
                <w:sz w:val="16"/>
                <w:szCs w:val="16"/>
              </w:rPr>
              <w:t xml:space="preserve">(Max 2,000 caracteres por celda) </w:t>
            </w:r>
          </w:p>
        </w:tc>
      </w:tr>
      <w:tr w:rsidR="009B1DCD" w:rsidRPr="00DE692F" w14:paraId="3B63E125" w14:textId="77777777" w:rsidTr="00D61877">
        <w:trPr>
          <w:trHeight w:val="3044"/>
        </w:trPr>
        <w:tc>
          <w:tcPr>
            <w:tcW w:w="746" w:type="pct"/>
            <w:vMerge w:val="restart"/>
            <w:vAlign w:val="center"/>
          </w:tcPr>
          <w:p w14:paraId="5DED313C" w14:textId="30C9C210"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Objetivo del proyecto</w:t>
            </w:r>
            <w:r w:rsidRPr="00DE692F">
              <w:rPr>
                <w:rFonts w:asciiTheme="majorHAnsi" w:hAnsiTheme="majorHAnsi" w:cstheme="majorHAnsi"/>
                <w:color w:val="000000"/>
                <w:sz w:val="16"/>
                <w:szCs w:val="16"/>
              </w:rPr>
              <w:t>: Introducir modelos de producción de commodities sostenibles (libres de deforestación) para reducir la deforestación y la degradación de la tierra causadas por el aumento de la producción no sostenible de commodities agrícolas en importantes jurisdicciones económico-ecológicas de la Amazonía noroccidental de Perú: Departamentos / Regiones de San Martín, Amazonas, Loreto y Cajamarca</w:t>
            </w:r>
          </w:p>
        </w:tc>
        <w:tc>
          <w:tcPr>
            <w:tcW w:w="555" w:type="pct"/>
            <w:vAlign w:val="center"/>
          </w:tcPr>
          <w:p w14:paraId="6F86A635" w14:textId="3790CA09"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color w:val="000000"/>
                <w:sz w:val="16"/>
                <w:szCs w:val="16"/>
                <w:u w:val="single"/>
              </w:rPr>
              <w:t>Indicador 1</w:t>
            </w:r>
            <w:r w:rsidRPr="00DE692F">
              <w:rPr>
                <w:rFonts w:asciiTheme="majorHAnsi" w:hAnsiTheme="majorHAnsi" w:cstheme="majorHAnsi"/>
                <w:color w:val="000000"/>
                <w:sz w:val="16"/>
                <w:szCs w:val="16"/>
                <w:u w:val="single"/>
              </w:rPr>
              <w:t xml:space="preserve">: </w:t>
            </w:r>
            <w:r w:rsidRPr="00DE692F">
              <w:rPr>
                <w:rFonts w:asciiTheme="majorHAnsi" w:hAnsiTheme="majorHAnsi" w:cstheme="majorHAnsi"/>
                <w:color w:val="000000"/>
                <w:sz w:val="16"/>
                <w:szCs w:val="16"/>
              </w:rPr>
              <w:t>beneficiarios directos del proyecto desglosados por género.</w:t>
            </w:r>
            <w:r w:rsidRPr="00DE692F">
              <w:rPr>
                <w:rFonts w:asciiTheme="majorHAnsi" w:hAnsiTheme="majorHAnsi" w:cstheme="majorHAnsi"/>
                <w:color w:val="000000"/>
                <w:sz w:val="16"/>
                <w:szCs w:val="16"/>
                <w:u w:val="single"/>
              </w:rPr>
              <w:t xml:space="preserve"> (indicador básico 11 del GEF).</w:t>
            </w:r>
          </w:p>
        </w:tc>
        <w:tc>
          <w:tcPr>
            <w:tcW w:w="486" w:type="pct"/>
            <w:vAlign w:val="center"/>
          </w:tcPr>
          <w:p w14:paraId="7C0D898B"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24,470 en total (individuos)</w:t>
            </w:r>
          </w:p>
          <w:p w14:paraId="2E6295CE"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3,820 mujeres</w:t>
            </w:r>
          </w:p>
          <w:p w14:paraId="1719C080"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20,650 hombres</w:t>
            </w:r>
          </w:p>
          <w:p w14:paraId="51FABEF9"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 </w:t>
            </w:r>
          </w:p>
          <w:p w14:paraId="1BA3302C" w14:textId="1B7D3372"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Basado en un análisis inicial de datos obtenidos de asociaciones y cooperativas de productores.</w:t>
            </w:r>
          </w:p>
        </w:tc>
        <w:tc>
          <w:tcPr>
            <w:tcW w:w="580" w:type="pct"/>
            <w:vAlign w:val="center"/>
          </w:tcPr>
          <w:p w14:paraId="6DFE2110"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35,000 beneficiarios</w:t>
            </w:r>
          </w:p>
          <w:p w14:paraId="4947609E" w14:textId="19BEF635"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10,500 mujeres</w:t>
            </w:r>
          </w:p>
          <w:p w14:paraId="52526656"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color w:val="000000"/>
                <w:sz w:val="16"/>
                <w:szCs w:val="16"/>
              </w:rPr>
              <w:t>24</w:t>
            </w:r>
            <w:r w:rsidRPr="00DE692F">
              <w:rPr>
                <w:rFonts w:asciiTheme="minorHAnsi" w:hAnsiTheme="minorHAnsi" w:cstheme="minorHAnsi"/>
                <w:sz w:val="16"/>
                <w:szCs w:val="16"/>
              </w:rPr>
              <w:t>,500 hombres</w:t>
            </w:r>
          </w:p>
          <w:p w14:paraId="5E7BD7A2" w14:textId="3E2CE262"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que reciben apoyo del proyecto FOLUR para la mejora de medios de vida a través de CLD y prácticas de restauración / conservación de tierras, así como mediante intervenciones sistémicas.</w:t>
            </w:r>
          </w:p>
        </w:tc>
        <w:tc>
          <w:tcPr>
            <w:tcW w:w="565" w:type="pct"/>
            <w:vAlign w:val="center"/>
          </w:tcPr>
          <w:p w14:paraId="5AF5AE14"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120,000 beneficiarios</w:t>
            </w:r>
          </w:p>
          <w:p w14:paraId="1E24255C"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color w:val="000000"/>
                <w:sz w:val="16"/>
                <w:szCs w:val="16"/>
              </w:rPr>
              <w:t>54,</w:t>
            </w:r>
            <w:r w:rsidRPr="00DE692F">
              <w:rPr>
                <w:rFonts w:asciiTheme="minorHAnsi" w:hAnsiTheme="minorHAnsi" w:cstheme="minorHAnsi"/>
                <w:sz w:val="16"/>
                <w:szCs w:val="16"/>
              </w:rPr>
              <w:t>000 mujeres</w:t>
            </w:r>
          </w:p>
          <w:p w14:paraId="6BBA0A11"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t>66,000 hombres</w:t>
            </w:r>
          </w:p>
          <w:p w14:paraId="5B213199"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t>que reciben apoyo del proyecto FOLUR para la mejora de medios de vida a través de CLD y prácticas de restauración / conservación de tierras, así como mediante intervenciones sistémicas.</w:t>
            </w:r>
          </w:p>
          <w:p w14:paraId="7FC205AE" w14:textId="77777777" w:rsidR="009B1DCD" w:rsidRPr="00DE692F" w:rsidRDefault="009B1DCD" w:rsidP="009B1DCD">
            <w:pPr>
              <w:spacing w:after="0"/>
              <w:jc w:val="left"/>
              <w:rPr>
                <w:rFonts w:asciiTheme="minorHAnsi" w:eastAsiaTheme="minorEastAsia" w:hAnsiTheme="minorHAnsi" w:cstheme="minorHAnsi"/>
                <w:sz w:val="16"/>
                <w:szCs w:val="16"/>
              </w:rPr>
            </w:pPr>
          </w:p>
        </w:tc>
        <w:tc>
          <w:tcPr>
            <w:tcW w:w="484" w:type="pct"/>
            <w:vAlign w:val="center"/>
          </w:tcPr>
          <w:p w14:paraId="500C3EE9" w14:textId="1B3952F2" w:rsidR="009B1DCD" w:rsidRPr="00DE692F" w:rsidRDefault="000039F8" w:rsidP="00D61877">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5D4F869A" w14:textId="77777777" w:rsidR="009B5A40" w:rsidRDefault="009B5A40" w:rsidP="009B5A40">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0F0C18F8" w14:textId="10BF03B7" w:rsidR="004E590F" w:rsidRPr="00E44CD7" w:rsidRDefault="00A205F4" w:rsidP="009B5A40">
            <w:pPr>
              <w:pStyle w:val="Default"/>
              <w:rPr>
                <w:rFonts w:asciiTheme="minorHAnsi" w:hAnsiTheme="minorHAnsi" w:cstheme="minorHAnsi"/>
                <w:sz w:val="16"/>
                <w:szCs w:val="16"/>
              </w:rPr>
            </w:pPr>
            <w:r w:rsidRPr="00E44CD7">
              <w:rPr>
                <w:rFonts w:asciiTheme="minorHAnsi" w:hAnsiTheme="minorHAnsi" w:cstheme="minorHAnsi"/>
                <w:sz w:val="16"/>
                <w:szCs w:val="16"/>
              </w:rPr>
              <w:t>9</w:t>
            </w:r>
            <w:r w:rsidR="00D53FB3" w:rsidRPr="00E44CD7">
              <w:rPr>
                <w:rFonts w:asciiTheme="minorHAnsi" w:hAnsiTheme="minorHAnsi" w:cstheme="minorHAnsi"/>
                <w:sz w:val="16"/>
                <w:szCs w:val="16"/>
              </w:rPr>
              <w:t>.</w:t>
            </w:r>
            <w:r w:rsidRPr="00E44CD7">
              <w:rPr>
                <w:rFonts w:asciiTheme="minorHAnsi" w:hAnsiTheme="minorHAnsi" w:cstheme="minorHAnsi"/>
                <w:sz w:val="16"/>
                <w:szCs w:val="16"/>
              </w:rPr>
              <w:t>4</w:t>
            </w:r>
            <w:r w:rsidR="00D53FB3" w:rsidRPr="00E44CD7">
              <w:rPr>
                <w:rFonts w:asciiTheme="minorHAnsi" w:hAnsiTheme="minorHAnsi" w:cstheme="minorHAnsi"/>
                <w:sz w:val="16"/>
                <w:szCs w:val="16"/>
              </w:rPr>
              <w:t>%</w:t>
            </w:r>
          </w:p>
          <w:p w14:paraId="27DAC9C2" w14:textId="268F2CAA" w:rsidR="004E590F" w:rsidRPr="00E44CD7" w:rsidRDefault="009254BB" w:rsidP="004E590F">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A la fecha se ha alcanzado </w:t>
            </w:r>
            <w:r w:rsidR="0087566B" w:rsidRPr="00E44CD7">
              <w:rPr>
                <w:rFonts w:asciiTheme="minorHAnsi" w:hAnsiTheme="minorHAnsi" w:cstheme="minorHAnsi"/>
                <w:sz w:val="16"/>
                <w:szCs w:val="16"/>
              </w:rPr>
              <w:t>2,</w:t>
            </w:r>
            <w:r w:rsidR="00A205F4" w:rsidRPr="00E44CD7">
              <w:rPr>
                <w:rFonts w:asciiTheme="minorHAnsi" w:hAnsiTheme="minorHAnsi" w:cstheme="minorHAnsi"/>
                <w:sz w:val="16"/>
                <w:szCs w:val="16"/>
              </w:rPr>
              <w:t>257</w:t>
            </w:r>
            <w:r w:rsidR="008B0777" w:rsidRPr="00E44CD7">
              <w:rPr>
                <w:rStyle w:val="Refdenotaalpie"/>
                <w:rFonts w:cstheme="minorHAnsi"/>
                <w:szCs w:val="16"/>
              </w:rPr>
              <w:footnoteReference w:id="5"/>
            </w:r>
            <w:r w:rsidRPr="00E44CD7">
              <w:rPr>
                <w:rFonts w:asciiTheme="minorHAnsi" w:hAnsiTheme="minorHAnsi" w:cstheme="minorHAnsi"/>
                <w:sz w:val="16"/>
                <w:szCs w:val="16"/>
              </w:rPr>
              <w:t xml:space="preserve"> productores/as</w:t>
            </w:r>
            <w:r w:rsidR="00BA7629">
              <w:rPr>
                <w:rFonts w:asciiTheme="minorHAnsi" w:hAnsiTheme="minorHAnsi" w:cstheme="minorHAnsi"/>
                <w:sz w:val="16"/>
                <w:szCs w:val="16"/>
              </w:rPr>
              <w:t xml:space="preserve"> (56% varones y 44% mujeres)</w:t>
            </w:r>
            <w:r w:rsidRPr="00E44CD7">
              <w:rPr>
                <w:rFonts w:asciiTheme="minorHAnsi" w:hAnsiTheme="minorHAnsi" w:cstheme="minorHAnsi"/>
                <w:sz w:val="16"/>
                <w:szCs w:val="16"/>
              </w:rPr>
              <w:t>, lo cual siguiendo el cálculo realizado en e</w:t>
            </w:r>
            <w:r w:rsidR="004E590F" w:rsidRPr="004E590F">
              <w:rPr>
                <w:rFonts w:asciiTheme="minorHAnsi" w:hAnsiTheme="minorHAnsi" w:cstheme="minorHAnsi"/>
                <w:sz w:val="16"/>
                <w:szCs w:val="16"/>
              </w:rPr>
              <w:t>l Marco de Resultados</w:t>
            </w:r>
            <w:r w:rsidRPr="00E44CD7">
              <w:rPr>
                <w:rFonts w:asciiTheme="minorHAnsi" w:hAnsiTheme="minorHAnsi" w:cstheme="minorHAnsi"/>
                <w:sz w:val="16"/>
                <w:szCs w:val="16"/>
              </w:rPr>
              <w:t xml:space="preserve"> corresponde a </w:t>
            </w:r>
            <w:r w:rsidR="0087566B" w:rsidRPr="00E44CD7">
              <w:rPr>
                <w:rFonts w:asciiTheme="minorHAnsi" w:hAnsiTheme="minorHAnsi" w:cstheme="minorHAnsi"/>
                <w:sz w:val="16"/>
                <w:szCs w:val="16"/>
              </w:rPr>
              <w:t>13</w:t>
            </w:r>
            <w:r w:rsidR="004E590F" w:rsidRPr="004E590F">
              <w:rPr>
                <w:rFonts w:asciiTheme="minorHAnsi" w:hAnsiTheme="minorHAnsi" w:cstheme="minorHAnsi"/>
                <w:sz w:val="16"/>
                <w:szCs w:val="16"/>
              </w:rPr>
              <w:t>,</w:t>
            </w:r>
            <w:r w:rsidR="0087566B" w:rsidRPr="00E44CD7">
              <w:rPr>
                <w:rFonts w:asciiTheme="minorHAnsi" w:hAnsiTheme="minorHAnsi" w:cstheme="minorHAnsi"/>
                <w:sz w:val="16"/>
                <w:szCs w:val="16"/>
              </w:rPr>
              <w:t>975</w:t>
            </w:r>
            <w:r w:rsidR="004E590F" w:rsidRPr="004E590F">
              <w:rPr>
                <w:rFonts w:asciiTheme="minorHAnsi" w:hAnsiTheme="minorHAnsi" w:cstheme="minorHAnsi"/>
                <w:sz w:val="16"/>
                <w:szCs w:val="16"/>
              </w:rPr>
              <w:t xml:space="preserve"> beneficiarios </w:t>
            </w:r>
            <w:r w:rsidRPr="00E44CD7">
              <w:rPr>
                <w:rFonts w:asciiTheme="minorHAnsi" w:hAnsiTheme="minorHAnsi" w:cstheme="minorHAnsi"/>
                <w:sz w:val="16"/>
                <w:szCs w:val="16"/>
              </w:rPr>
              <w:t>(multiplic</w:t>
            </w:r>
            <w:r w:rsidR="004E590F" w:rsidRPr="004E590F">
              <w:rPr>
                <w:rFonts w:asciiTheme="minorHAnsi" w:hAnsiTheme="minorHAnsi" w:cstheme="minorHAnsi"/>
                <w:sz w:val="16"/>
                <w:szCs w:val="16"/>
              </w:rPr>
              <w:t xml:space="preserve">ando </w:t>
            </w:r>
            <w:r w:rsidR="0087566B" w:rsidRPr="00E44CD7">
              <w:rPr>
                <w:rFonts w:asciiTheme="minorHAnsi" w:hAnsiTheme="minorHAnsi" w:cstheme="minorHAnsi"/>
                <w:sz w:val="16"/>
                <w:szCs w:val="16"/>
              </w:rPr>
              <w:t>2</w:t>
            </w:r>
            <w:r w:rsidR="004E590F" w:rsidRPr="004E590F">
              <w:rPr>
                <w:rFonts w:asciiTheme="minorHAnsi" w:hAnsiTheme="minorHAnsi" w:cstheme="minorHAnsi"/>
                <w:sz w:val="16"/>
                <w:szCs w:val="16"/>
              </w:rPr>
              <w:t>,</w:t>
            </w:r>
            <w:r w:rsidR="0087566B" w:rsidRPr="00E44CD7">
              <w:rPr>
                <w:rFonts w:asciiTheme="minorHAnsi" w:hAnsiTheme="minorHAnsi" w:cstheme="minorHAnsi"/>
                <w:sz w:val="16"/>
                <w:szCs w:val="16"/>
              </w:rPr>
              <w:t>795</w:t>
            </w:r>
            <w:r w:rsidR="004E590F" w:rsidRPr="004E590F">
              <w:rPr>
                <w:rFonts w:asciiTheme="minorHAnsi" w:hAnsiTheme="minorHAnsi" w:cstheme="minorHAnsi"/>
                <w:sz w:val="16"/>
                <w:szCs w:val="16"/>
              </w:rPr>
              <w:t xml:space="preserve"> productores/as por 5</w:t>
            </w:r>
            <w:r w:rsidRPr="00E44CD7">
              <w:rPr>
                <w:rFonts w:asciiTheme="minorHAnsi" w:hAnsiTheme="minorHAnsi" w:cstheme="minorHAnsi"/>
                <w:sz w:val="16"/>
                <w:szCs w:val="16"/>
              </w:rPr>
              <w:t>)</w:t>
            </w:r>
            <w:r w:rsidR="004E590F" w:rsidRPr="004E590F">
              <w:rPr>
                <w:rFonts w:asciiTheme="minorHAnsi" w:hAnsiTheme="minorHAnsi" w:cstheme="minorHAnsi"/>
                <w:sz w:val="16"/>
                <w:szCs w:val="16"/>
              </w:rPr>
              <w:t xml:space="preserve">. </w:t>
            </w:r>
          </w:p>
          <w:p w14:paraId="08769596" w14:textId="31D5681F" w:rsidR="00E77D3B" w:rsidRPr="004E590F" w:rsidRDefault="00E77D3B" w:rsidP="004E590F">
            <w:pPr>
              <w:pStyle w:val="Default"/>
              <w:rPr>
                <w:rFonts w:asciiTheme="minorHAnsi" w:hAnsiTheme="minorHAnsi" w:cstheme="minorHAnsi"/>
                <w:sz w:val="16"/>
                <w:szCs w:val="16"/>
              </w:rPr>
            </w:pPr>
          </w:p>
          <w:p w14:paraId="00D6616A" w14:textId="0B43742A" w:rsidR="00D42B32" w:rsidRPr="00DE692F" w:rsidRDefault="00D42B32" w:rsidP="004E590F">
            <w:pPr>
              <w:pStyle w:val="Default"/>
              <w:rPr>
                <w:rFonts w:asciiTheme="minorHAnsi" w:hAnsiTheme="minorHAnsi" w:cstheme="minorHAnsi"/>
                <w:sz w:val="16"/>
                <w:szCs w:val="16"/>
              </w:rPr>
            </w:pPr>
          </w:p>
        </w:tc>
      </w:tr>
      <w:tr w:rsidR="009B1DCD" w:rsidRPr="00DE692F" w14:paraId="057115A2" w14:textId="77777777" w:rsidTr="00D61877">
        <w:trPr>
          <w:trHeight w:val="23"/>
        </w:trPr>
        <w:tc>
          <w:tcPr>
            <w:tcW w:w="746" w:type="pct"/>
            <w:vMerge/>
            <w:vAlign w:val="center"/>
          </w:tcPr>
          <w:p w14:paraId="01C126C8" w14:textId="77777777" w:rsidR="009B1DCD" w:rsidRPr="00DE692F" w:rsidRDefault="009B1DCD" w:rsidP="009B1DCD">
            <w:pPr>
              <w:spacing w:after="0"/>
              <w:rPr>
                <w:rFonts w:asciiTheme="majorHAnsi" w:eastAsiaTheme="minorEastAsia" w:hAnsiTheme="majorHAnsi" w:cstheme="majorHAnsi"/>
                <w:b/>
                <w:bCs/>
                <w:sz w:val="16"/>
                <w:szCs w:val="16"/>
              </w:rPr>
            </w:pPr>
          </w:p>
        </w:tc>
        <w:tc>
          <w:tcPr>
            <w:tcW w:w="555" w:type="pct"/>
            <w:vAlign w:val="center"/>
          </w:tcPr>
          <w:p w14:paraId="358EB7B5"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color w:val="000000"/>
                <w:sz w:val="16"/>
                <w:szCs w:val="16"/>
                <w:u w:val="single"/>
              </w:rPr>
              <w:t xml:space="preserve">Indicador </w:t>
            </w:r>
            <w:r w:rsidRPr="00DE692F">
              <w:rPr>
                <w:rFonts w:asciiTheme="majorHAnsi" w:hAnsiTheme="majorHAnsi" w:cstheme="majorHAnsi"/>
                <w:b/>
                <w:color w:val="000000"/>
                <w:sz w:val="16"/>
                <w:szCs w:val="16"/>
              </w:rPr>
              <w:t>2</w:t>
            </w:r>
            <w:r w:rsidRPr="00DE692F">
              <w:rPr>
                <w:rFonts w:asciiTheme="majorHAnsi" w:hAnsiTheme="majorHAnsi" w:cstheme="majorHAnsi"/>
                <w:color w:val="000000"/>
                <w:sz w:val="16"/>
                <w:szCs w:val="16"/>
              </w:rPr>
              <w:t>: Tierras restauradas (TR</w:t>
            </w:r>
            <w:r w:rsidRPr="00DE692F">
              <w:rPr>
                <w:rStyle w:val="Refdenotaalpie"/>
                <w:rFonts w:asciiTheme="majorHAnsi" w:hAnsiTheme="majorHAnsi" w:cstheme="majorHAnsi"/>
                <w:color w:val="000000"/>
                <w:sz w:val="16"/>
                <w:szCs w:val="16"/>
              </w:rPr>
              <w:footnoteReference w:id="6"/>
            </w:r>
            <w:r w:rsidRPr="00DE692F">
              <w:rPr>
                <w:rFonts w:asciiTheme="majorHAnsi" w:hAnsiTheme="majorHAnsi" w:cstheme="majorHAnsi"/>
                <w:color w:val="000000"/>
                <w:sz w:val="16"/>
                <w:szCs w:val="16"/>
              </w:rPr>
              <w:t>) (Indicador básico 3 del GEF)</w:t>
            </w:r>
          </w:p>
          <w:p w14:paraId="5B88C1B3" w14:textId="77777777" w:rsidR="009B1DCD" w:rsidRPr="00DE692F" w:rsidRDefault="009B1DCD" w:rsidP="009B1DCD">
            <w:pPr>
              <w:rPr>
                <w:rFonts w:asciiTheme="majorHAnsi" w:hAnsiTheme="majorHAnsi" w:cstheme="majorHAnsi"/>
                <w:color w:val="000000"/>
                <w:sz w:val="16"/>
                <w:szCs w:val="16"/>
              </w:rPr>
            </w:pPr>
            <w:r w:rsidRPr="00DE692F">
              <w:rPr>
                <w:rFonts w:asciiTheme="majorHAnsi" w:hAnsiTheme="majorHAnsi" w:cstheme="majorHAnsi"/>
                <w:color w:val="000000"/>
                <w:sz w:val="16"/>
                <w:szCs w:val="16"/>
              </w:rPr>
              <w:t>Sub indicador básico del GEF 3.1:  Área de tierra agrícola degradada restaurada</w:t>
            </w:r>
          </w:p>
          <w:p w14:paraId="287BE6F1" w14:textId="77777777" w:rsidR="009B1DCD" w:rsidRPr="00DE692F" w:rsidRDefault="009B1DCD" w:rsidP="009B1DCD">
            <w:pPr>
              <w:rPr>
                <w:rFonts w:asciiTheme="majorHAnsi" w:hAnsiTheme="majorHAnsi" w:cstheme="majorHAnsi"/>
                <w:color w:val="000000"/>
                <w:sz w:val="16"/>
                <w:szCs w:val="16"/>
              </w:rPr>
            </w:pPr>
          </w:p>
          <w:p w14:paraId="69F97988" w14:textId="51F0AAAD" w:rsidR="009B1DCD" w:rsidRPr="00DE692F" w:rsidRDefault="009B1DCD" w:rsidP="009B1DCD">
            <w:pPr>
              <w:jc w:val="left"/>
              <w:rPr>
                <w:rFonts w:asciiTheme="majorHAnsi" w:hAnsiTheme="majorHAnsi" w:cstheme="majorHAnsi"/>
                <w:sz w:val="16"/>
                <w:szCs w:val="16"/>
              </w:rPr>
            </w:pPr>
            <w:r w:rsidRPr="00DE692F">
              <w:rPr>
                <w:rFonts w:asciiTheme="majorHAnsi" w:hAnsiTheme="majorHAnsi" w:cstheme="majorHAnsi"/>
                <w:color w:val="000000"/>
                <w:sz w:val="16"/>
                <w:szCs w:val="16"/>
              </w:rPr>
              <w:t>Sub indicador básico del GEF 3.2: Superficie de bosques y terrenos forestales restaurados.</w:t>
            </w:r>
          </w:p>
        </w:tc>
        <w:tc>
          <w:tcPr>
            <w:tcW w:w="486" w:type="pct"/>
            <w:vAlign w:val="center"/>
          </w:tcPr>
          <w:p w14:paraId="23A47597"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50,000 hectáreas</w:t>
            </w:r>
          </w:p>
          <w:p w14:paraId="773FDD6C"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Subindicador 3.1: 0</w:t>
            </w:r>
          </w:p>
          <w:p w14:paraId="681E6195"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Subindicador 3.2: 50,000</w:t>
            </w:r>
          </w:p>
          <w:p w14:paraId="22B83D10" w14:textId="508558D3"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 xml:space="preserve">El área estimada de tierra degradada en las cuatro regiones objetivo mide entre 450 y 500 mil ha; 262,489 ha en San Martín. No hay información sobre áreas restauradas en las jurisdicciones del Proyecto. Existen diversas iniciativas de restauración públicas y privadas, principalmente en </w:t>
            </w:r>
            <w:r w:rsidRPr="00DE692F">
              <w:rPr>
                <w:rFonts w:asciiTheme="majorHAnsi" w:hAnsiTheme="majorHAnsi" w:cstheme="majorHAnsi"/>
                <w:color w:val="1B1B1B"/>
                <w:sz w:val="16"/>
                <w:szCs w:val="16"/>
              </w:rPr>
              <w:lastRenderedPageBreak/>
              <w:t>San Martín, de aprox. 50,000 ha.</w:t>
            </w:r>
          </w:p>
        </w:tc>
        <w:tc>
          <w:tcPr>
            <w:tcW w:w="580" w:type="pct"/>
            <w:vAlign w:val="center"/>
          </w:tcPr>
          <w:p w14:paraId="4384DC3D"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000000"/>
                <w:sz w:val="16"/>
                <w:szCs w:val="16"/>
                <w:lang w:val="pt-PT"/>
              </w:rPr>
            </w:pPr>
            <w:r w:rsidRPr="008A14B0">
              <w:rPr>
                <w:rFonts w:asciiTheme="minorHAnsi" w:hAnsiTheme="minorHAnsi" w:cstheme="minorHAnsi"/>
                <w:color w:val="000000"/>
                <w:sz w:val="16"/>
                <w:szCs w:val="16"/>
                <w:lang w:val="pt-PT"/>
              </w:rPr>
              <w:lastRenderedPageBreak/>
              <w:t>52,000 hectáreas de TR</w:t>
            </w:r>
          </w:p>
          <w:p w14:paraId="5B01E3C7"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000000"/>
                <w:sz w:val="16"/>
                <w:szCs w:val="16"/>
                <w:lang w:val="pt-PT"/>
              </w:rPr>
            </w:pPr>
            <w:r w:rsidRPr="008A14B0">
              <w:rPr>
                <w:rFonts w:asciiTheme="minorHAnsi" w:hAnsiTheme="minorHAnsi" w:cstheme="minorHAnsi"/>
                <w:color w:val="000000"/>
                <w:sz w:val="16"/>
                <w:szCs w:val="16"/>
                <w:lang w:val="pt-PT"/>
              </w:rPr>
              <w:t>Subindicador 3.1: 660 hectáreas</w:t>
            </w:r>
          </w:p>
          <w:p w14:paraId="728C3E67"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000000"/>
                <w:sz w:val="16"/>
                <w:szCs w:val="16"/>
                <w:lang w:val="pt-PT"/>
              </w:rPr>
            </w:pPr>
            <w:r w:rsidRPr="008A14B0">
              <w:rPr>
                <w:rFonts w:asciiTheme="minorHAnsi" w:hAnsiTheme="minorHAnsi" w:cstheme="minorHAnsi"/>
                <w:color w:val="000000"/>
                <w:sz w:val="16"/>
                <w:szCs w:val="16"/>
                <w:lang w:val="pt-PT"/>
              </w:rPr>
              <w:t>Subindicador 3.2: 51,340 hectáreas</w:t>
            </w:r>
          </w:p>
          <w:p w14:paraId="110B5373" w14:textId="77777777" w:rsidR="009B1DCD" w:rsidRPr="008A14B0" w:rsidRDefault="009B1DCD" w:rsidP="009B1DCD">
            <w:pPr>
              <w:spacing w:after="0"/>
              <w:jc w:val="left"/>
              <w:rPr>
                <w:rFonts w:asciiTheme="minorHAnsi" w:eastAsiaTheme="minorEastAsia" w:hAnsiTheme="minorHAnsi" w:cstheme="minorHAnsi"/>
                <w:sz w:val="16"/>
                <w:szCs w:val="16"/>
                <w:lang w:val="pt-PT"/>
              </w:rPr>
            </w:pPr>
          </w:p>
        </w:tc>
        <w:tc>
          <w:tcPr>
            <w:tcW w:w="565" w:type="pct"/>
            <w:vAlign w:val="center"/>
          </w:tcPr>
          <w:p w14:paraId="0942F1F4"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000000"/>
                <w:sz w:val="16"/>
                <w:szCs w:val="16"/>
                <w:lang w:val="pt-PT"/>
              </w:rPr>
            </w:pPr>
            <w:r w:rsidRPr="008A14B0">
              <w:rPr>
                <w:rFonts w:asciiTheme="minorHAnsi" w:hAnsiTheme="minorHAnsi" w:cstheme="minorHAnsi"/>
                <w:color w:val="000000"/>
                <w:sz w:val="16"/>
                <w:szCs w:val="16"/>
                <w:lang w:val="pt-PT"/>
              </w:rPr>
              <w:t>260,050 hectáreas de TR</w:t>
            </w:r>
          </w:p>
          <w:p w14:paraId="6848CCEB"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000000"/>
                <w:sz w:val="16"/>
                <w:szCs w:val="16"/>
                <w:lang w:val="pt-PT"/>
              </w:rPr>
            </w:pPr>
            <w:r w:rsidRPr="008A14B0">
              <w:rPr>
                <w:rFonts w:asciiTheme="minorHAnsi" w:hAnsiTheme="minorHAnsi" w:cstheme="minorHAnsi"/>
                <w:color w:val="000000"/>
                <w:sz w:val="16"/>
                <w:szCs w:val="16"/>
                <w:lang w:val="pt-PT"/>
              </w:rPr>
              <w:t>Subindicador 3.1: 3,300 hectáreas</w:t>
            </w:r>
          </w:p>
          <w:p w14:paraId="0B7B3B9A" w14:textId="4BEA44D0" w:rsidR="009B1DCD" w:rsidRPr="008A14B0" w:rsidRDefault="009B1DCD" w:rsidP="009B1DCD">
            <w:pPr>
              <w:spacing w:after="0"/>
              <w:jc w:val="left"/>
              <w:rPr>
                <w:rFonts w:asciiTheme="minorHAnsi" w:eastAsiaTheme="minorEastAsia" w:hAnsiTheme="minorHAnsi" w:cstheme="minorHAnsi"/>
                <w:sz w:val="16"/>
                <w:szCs w:val="16"/>
                <w:lang w:val="pt-PT"/>
              </w:rPr>
            </w:pPr>
            <w:r w:rsidRPr="008A14B0">
              <w:rPr>
                <w:rFonts w:asciiTheme="minorHAnsi" w:hAnsiTheme="minorHAnsi" w:cstheme="minorHAnsi"/>
                <w:color w:val="000000"/>
                <w:sz w:val="16"/>
                <w:szCs w:val="16"/>
                <w:lang w:val="pt-PT"/>
              </w:rPr>
              <w:t>Subindicador 3.2: 256,750 hectáreas</w:t>
            </w:r>
          </w:p>
        </w:tc>
        <w:tc>
          <w:tcPr>
            <w:tcW w:w="484" w:type="pct"/>
            <w:vAlign w:val="center"/>
          </w:tcPr>
          <w:p w14:paraId="7A8D24F0" w14:textId="012FD34D" w:rsidR="009B1DCD" w:rsidRPr="00DE692F" w:rsidRDefault="000039F8" w:rsidP="00D61877">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4F06B24C" w14:textId="77777777" w:rsidR="009B5A40" w:rsidRPr="00DE692F" w:rsidRDefault="009B5A40" w:rsidP="009B5A40">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4EF2E4FA" w14:textId="42F75292" w:rsidR="009B5A40" w:rsidRPr="00DE692F" w:rsidRDefault="003F5FA6" w:rsidP="009B5A40">
            <w:pPr>
              <w:pStyle w:val="Default"/>
              <w:rPr>
                <w:rFonts w:asciiTheme="minorHAnsi" w:hAnsiTheme="minorHAnsi" w:cstheme="minorHAnsi"/>
                <w:sz w:val="16"/>
                <w:szCs w:val="16"/>
              </w:rPr>
            </w:pPr>
            <w:r>
              <w:rPr>
                <w:rFonts w:asciiTheme="minorHAnsi" w:hAnsiTheme="minorHAnsi" w:cstheme="minorHAnsi"/>
                <w:sz w:val="16"/>
                <w:szCs w:val="16"/>
              </w:rPr>
              <w:t>21.38</w:t>
            </w:r>
            <w:r w:rsidR="009B5A40" w:rsidRPr="00DE692F">
              <w:rPr>
                <w:rFonts w:asciiTheme="minorHAnsi" w:hAnsiTheme="minorHAnsi" w:cstheme="minorHAnsi"/>
                <w:sz w:val="16"/>
                <w:szCs w:val="16"/>
              </w:rPr>
              <w:t xml:space="preserve"> ha (0%) </w:t>
            </w:r>
          </w:p>
          <w:p w14:paraId="1218DB4E" w14:textId="35CC1F5D" w:rsidR="003F5FA6" w:rsidRPr="003F5FA6" w:rsidRDefault="009B5A40" w:rsidP="009B5A40">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Este indicador y objetivo se alcanzará </w:t>
            </w:r>
            <w:r w:rsidR="00BA7629">
              <w:rPr>
                <w:rFonts w:asciiTheme="minorHAnsi" w:hAnsiTheme="minorHAnsi" w:cstheme="minorHAnsi"/>
                <w:sz w:val="16"/>
                <w:szCs w:val="16"/>
              </w:rPr>
              <w:t xml:space="preserve">en los plazos </w:t>
            </w:r>
            <w:r w:rsidR="00DA1AFD">
              <w:rPr>
                <w:rFonts w:asciiTheme="minorHAnsi" w:hAnsiTheme="minorHAnsi" w:cstheme="minorHAnsi"/>
                <w:sz w:val="16"/>
                <w:szCs w:val="16"/>
              </w:rPr>
              <w:t>esperados</w:t>
            </w:r>
            <w:r w:rsidRPr="00DE692F">
              <w:rPr>
                <w:rFonts w:asciiTheme="minorHAnsi" w:hAnsiTheme="minorHAnsi" w:cstheme="minorHAnsi"/>
                <w:sz w:val="16"/>
                <w:szCs w:val="16"/>
              </w:rPr>
              <w:t xml:space="preserve">. </w:t>
            </w:r>
          </w:p>
          <w:p w14:paraId="13CEF3F1" w14:textId="3671C4ED" w:rsidR="00EF7CAA" w:rsidRPr="00DE692F" w:rsidRDefault="00EF7CAA" w:rsidP="009B5A40">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Para ello durante el 2025</w:t>
            </w:r>
            <w:r w:rsidR="003F5FA6" w:rsidRPr="00E44CD7">
              <w:rPr>
                <w:rFonts w:asciiTheme="minorHAnsi" w:eastAsiaTheme="minorEastAsia" w:hAnsiTheme="minorHAnsi" w:cstheme="minorHAnsi"/>
                <w:sz w:val="16"/>
                <w:szCs w:val="16"/>
              </w:rPr>
              <w:t xml:space="preserve">, se realizó una capacitación que derivó en la restauración </w:t>
            </w:r>
            <w:r w:rsidR="001C5A69" w:rsidRPr="00E44CD7">
              <w:rPr>
                <w:rFonts w:asciiTheme="minorHAnsi" w:eastAsiaTheme="minorEastAsia" w:hAnsiTheme="minorHAnsi" w:cstheme="minorHAnsi"/>
                <w:sz w:val="16"/>
                <w:szCs w:val="16"/>
              </w:rPr>
              <w:t xml:space="preserve">ecológica </w:t>
            </w:r>
            <w:r w:rsidR="003F5FA6" w:rsidRPr="00E44CD7">
              <w:rPr>
                <w:rFonts w:asciiTheme="minorHAnsi" w:eastAsiaTheme="minorEastAsia" w:hAnsiTheme="minorHAnsi" w:cstheme="minorHAnsi"/>
                <w:sz w:val="16"/>
                <w:szCs w:val="16"/>
              </w:rPr>
              <w:t xml:space="preserve">de 21.38 ha, </w:t>
            </w:r>
            <w:r w:rsidR="00C635EC">
              <w:rPr>
                <w:rFonts w:asciiTheme="minorHAnsi" w:eastAsiaTheme="minorEastAsia" w:hAnsiTheme="minorHAnsi" w:cstheme="minorHAnsi"/>
                <w:sz w:val="16"/>
                <w:szCs w:val="16"/>
              </w:rPr>
              <w:t xml:space="preserve">realizada </w:t>
            </w:r>
            <w:r w:rsidR="001C5A69" w:rsidRPr="00E44CD7">
              <w:rPr>
                <w:rFonts w:asciiTheme="minorHAnsi" w:eastAsiaTheme="minorEastAsia" w:hAnsiTheme="minorHAnsi" w:cstheme="minorHAnsi"/>
                <w:sz w:val="16"/>
                <w:szCs w:val="16"/>
              </w:rPr>
              <w:t>en coordinación con SERNANP. Además,</w:t>
            </w:r>
            <w:r w:rsidR="003F5FA6"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 xml:space="preserve">se </w:t>
            </w:r>
            <w:r w:rsidR="00C635EC">
              <w:rPr>
                <w:rFonts w:asciiTheme="minorHAnsi" w:eastAsiaTheme="minorEastAsia" w:hAnsiTheme="minorHAnsi" w:cstheme="minorHAnsi"/>
                <w:sz w:val="16"/>
                <w:szCs w:val="16"/>
              </w:rPr>
              <w:t>viene</w:t>
            </w:r>
            <w:r w:rsidRPr="00E44CD7">
              <w:rPr>
                <w:rFonts w:asciiTheme="minorHAnsi" w:eastAsiaTheme="minorEastAsia" w:hAnsiTheme="minorHAnsi" w:cstheme="minorHAnsi"/>
                <w:sz w:val="16"/>
                <w:szCs w:val="16"/>
              </w:rPr>
              <w:t xml:space="preserve"> trabaja</w:t>
            </w:r>
            <w:r w:rsidR="00C635EC">
              <w:rPr>
                <w:rFonts w:asciiTheme="minorHAnsi" w:eastAsiaTheme="minorEastAsia" w:hAnsiTheme="minorHAnsi" w:cstheme="minorHAnsi"/>
                <w:sz w:val="16"/>
                <w:szCs w:val="16"/>
              </w:rPr>
              <w:t>n</w:t>
            </w:r>
            <w:r w:rsidRPr="00E44CD7">
              <w:rPr>
                <w:rFonts w:asciiTheme="minorHAnsi" w:eastAsiaTheme="minorEastAsia" w:hAnsiTheme="minorHAnsi" w:cstheme="minorHAnsi"/>
                <w:sz w:val="16"/>
                <w:szCs w:val="16"/>
              </w:rPr>
              <w:t xml:space="preserve">do con los gobiernos regionales una cartera de proyectos que tendrá como prioridad la restauración de ecosistemas degradados. Del mismo modo, con los gobiernos regionales de Cajamarca y Amazonas, se elaboran mapas </w:t>
            </w:r>
            <w:r w:rsidR="00C635EC">
              <w:rPr>
                <w:rFonts w:asciiTheme="minorHAnsi" w:eastAsiaTheme="minorEastAsia" w:hAnsiTheme="minorHAnsi" w:cstheme="minorHAnsi"/>
                <w:sz w:val="16"/>
                <w:szCs w:val="16"/>
              </w:rPr>
              <w:t xml:space="preserve">de ecosistemas y de áreas degradadas </w:t>
            </w:r>
            <w:r w:rsidRPr="00E44CD7">
              <w:rPr>
                <w:rFonts w:asciiTheme="minorHAnsi" w:eastAsiaTheme="minorEastAsia" w:hAnsiTheme="minorHAnsi" w:cstheme="minorHAnsi"/>
                <w:sz w:val="16"/>
                <w:szCs w:val="16"/>
              </w:rPr>
              <w:t>que generan información base para la elaboración de planes regionales de restauración. Además, en coordinación con la DGDB se han elaborado TdR que serán convocados durante el 2026 con la finalidad de recuperar el hábitat del oso andino como una estrategia para su conservación, con estas acciones se espera superar la meta esperada.</w:t>
            </w:r>
          </w:p>
        </w:tc>
      </w:tr>
      <w:tr w:rsidR="009B1DCD" w:rsidRPr="00DE692F" w14:paraId="1807145A" w14:textId="77777777" w:rsidTr="00D61877">
        <w:trPr>
          <w:trHeight w:val="23"/>
        </w:trPr>
        <w:tc>
          <w:tcPr>
            <w:tcW w:w="746" w:type="pct"/>
            <w:vMerge/>
            <w:vAlign w:val="center"/>
          </w:tcPr>
          <w:p w14:paraId="2BC9A037" w14:textId="77777777" w:rsidR="009B1DCD" w:rsidRPr="00DE692F" w:rsidRDefault="009B1DCD" w:rsidP="009B1DCD">
            <w:pPr>
              <w:spacing w:after="0"/>
              <w:rPr>
                <w:rFonts w:asciiTheme="majorHAnsi" w:eastAsiaTheme="minorEastAsia" w:hAnsiTheme="majorHAnsi" w:cstheme="majorHAnsi"/>
                <w:b/>
                <w:bCs/>
                <w:sz w:val="16"/>
                <w:szCs w:val="16"/>
              </w:rPr>
            </w:pPr>
          </w:p>
        </w:tc>
        <w:tc>
          <w:tcPr>
            <w:tcW w:w="555" w:type="pct"/>
            <w:vAlign w:val="center"/>
          </w:tcPr>
          <w:p w14:paraId="5638EBA7"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bCs/>
                <w:color w:val="000000"/>
                <w:sz w:val="16"/>
                <w:szCs w:val="16"/>
              </w:rPr>
              <w:t>Indicador 3:</w:t>
            </w:r>
            <w:r w:rsidRPr="00DE692F">
              <w:rPr>
                <w:rFonts w:asciiTheme="majorHAnsi" w:hAnsiTheme="majorHAnsi" w:cstheme="majorHAnsi"/>
                <w:color w:val="000000"/>
                <w:sz w:val="16"/>
                <w:szCs w:val="16"/>
              </w:rPr>
              <w:t xml:space="preserve"> Área de paisajes bajo prácticas mejoradas (PBPM) (Indicador básico 4 del GEF)</w:t>
            </w:r>
          </w:p>
          <w:p w14:paraId="60B54619" w14:textId="77777777" w:rsidR="009B1DCD" w:rsidRPr="00DE692F" w:rsidRDefault="009B1DCD" w:rsidP="009B1DCD">
            <w:pPr>
              <w:rPr>
                <w:rFonts w:asciiTheme="majorHAnsi" w:hAnsiTheme="majorHAnsi" w:cstheme="majorHAnsi"/>
                <w:color w:val="000000"/>
                <w:sz w:val="16"/>
                <w:szCs w:val="16"/>
              </w:rPr>
            </w:pPr>
            <w:r w:rsidRPr="00DE692F">
              <w:rPr>
                <w:rFonts w:asciiTheme="majorHAnsi" w:hAnsiTheme="majorHAnsi" w:cstheme="majorHAnsi"/>
                <w:color w:val="000000"/>
                <w:sz w:val="16"/>
                <w:szCs w:val="16"/>
              </w:rPr>
              <w:t>Sub indicador básico del GEF 4.1:  Área de paisajes bajo gestión mejorada en beneficio de la biodiversidad (evaluación cualitativa, no certificada)</w:t>
            </w:r>
          </w:p>
          <w:p w14:paraId="254F2485" w14:textId="77777777" w:rsidR="009B1DCD" w:rsidRPr="00DE692F" w:rsidRDefault="009B1DCD" w:rsidP="009B1DCD">
            <w:pPr>
              <w:rPr>
                <w:rFonts w:asciiTheme="majorHAnsi" w:hAnsiTheme="majorHAnsi" w:cstheme="majorHAnsi"/>
                <w:color w:val="000000"/>
                <w:sz w:val="16"/>
                <w:szCs w:val="16"/>
              </w:rPr>
            </w:pPr>
          </w:p>
          <w:p w14:paraId="6838CA52" w14:textId="77777777" w:rsidR="009B1DCD" w:rsidRPr="00DE692F" w:rsidRDefault="009B1DCD" w:rsidP="009B1DCD">
            <w:pPr>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Sub indicador básico del GEF 4.3:  Área de paisajes bajo gestión sostenible de la tierra en sistemas productivos </w:t>
            </w:r>
          </w:p>
          <w:p w14:paraId="65B69AFB" w14:textId="77777777" w:rsidR="009B1DCD" w:rsidRPr="00DE692F" w:rsidRDefault="009B1DCD" w:rsidP="009B1DCD">
            <w:pPr>
              <w:rPr>
                <w:rFonts w:asciiTheme="majorHAnsi" w:hAnsiTheme="majorHAnsi" w:cstheme="majorHAnsi"/>
                <w:color w:val="000000"/>
                <w:sz w:val="16"/>
                <w:szCs w:val="16"/>
              </w:rPr>
            </w:pPr>
          </w:p>
          <w:p w14:paraId="711437AB" w14:textId="29647E4E"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Sub indicador básico del GEF 4.4:  Área de bosques de alto valor de conservación en la que se ha evitado la </w:t>
            </w:r>
            <w:r w:rsidRPr="00DE692F">
              <w:rPr>
                <w:rFonts w:asciiTheme="majorHAnsi" w:hAnsiTheme="majorHAnsi" w:cstheme="majorHAnsi"/>
                <w:color w:val="000000"/>
                <w:sz w:val="16"/>
                <w:szCs w:val="16"/>
              </w:rPr>
              <w:lastRenderedPageBreak/>
              <w:t>pérdida de bosques (BAVC)</w:t>
            </w:r>
          </w:p>
        </w:tc>
        <w:tc>
          <w:tcPr>
            <w:tcW w:w="486" w:type="pct"/>
            <w:vAlign w:val="center"/>
          </w:tcPr>
          <w:p w14:paraId="0E529EA3" w14:textId="77777777" w:rsidR="009B1DCD" w:rsidRPr="008A14B0" w:rsidRDefault="009B1DCD" w:rsidP="009B1DCD">
            <w:pPr>
              <w:pBdr>
                <w:top w:val="nil"/>
                <w:left w:val="nil"/>
                <w:bottom w:val="nil"/>
                <w:right w:val="nil"/>
                <w:between w:val="nil"/>
              </w:pBdr>
              <w:jc w:val="left"/>
              <w:rPr>
                <w:rFonts w:asciiTheme="majorHAnsi" w:hAnsiTheme="majorHAnsi" w:cstheme="majorHAnsi"/>
                <w:color w:val="1B1B1B"/>
                <w:sz w:val="16"/>
                <w:szCs w:val="16"/>
                <w:lang w:val="pt-PT"/>
              </w:rPr>
            </w:pPr>
            <w:r w:rsidRPr="008A14B0">
              <w:rPr>
                <w:rFonts w:asciiTheme="majorHAnsi" w:hAnsiTheme="majorHAnsi" w:cstheme="majorHAnsi"/>
                <w:color w:val="1B1B1B"/>
                <w:sz w:val="16"/>
                <w:szCs w:val="16"/>
                <w:lang w:val="pt-PT"/>
              </w:rPr>
              <w:lastRenderedPageBreak/>
              <w:t xml:space="preserve">0 hectáreas de </w:t>
            </w:r>
            <w:r w:rsidRPr="008A14B0">
              <w:rPr>
                <w:rFonts w:asciiTheme="majorHAnsi" w:hAnsiTheme="majorHAnsi" w:cstheme="majorHAnsi"/>
                <w:color w:val="000000"/>
                <w:sz w:val="16"/>
                <w:szCs w:val="16"/>
                <w:lang w:val="pt-PT"/>
              </w:rPr>
              <w:t>PBPM</w:t>
            </w:r>
          </w:p>
          <w:p w14:paraId="129C9528" w14:textId="77777777" w:rsidR="009B1DCD" w:rsidRPr="008A14B0" w:rsidRDefault="009B1DCD" w:rsidP="009B1DCD">
            <w:pPr>
              <w:pBdr>
                <w:top w:val="nil"/>
                <w:left w:val="nil"/>
                <w:bottom w:val="nil"/>
                <w:right w:val="nil"/>
                <w:between w:val="nil"/>
              </w:pBdr>
              <w:jc w:val="left"/>
              <w:rPr>
                <w:rFonts w:asciiTheme="majorHAnsi" w:hAnsiTheme="majorHAnsi" w:cstheme="majorHAnsi"/>
                <w:color w:val="1B1B1B"/>
                <w:sz w:val="16"/>
                <w:szCs w:val="16"/>
                <w:lang w:val="pt-PT"/>
              </w:rPr>
            </w:pPr>
            <w:r w:rsidRPr="008A14B0">
              <w:rPr>
                <w:rFonts w:asciiTheme="majorHAnsi" w:hAnsiTheme="majorHAnsi" w:cstheme="majorHAnsi"/>
                <w:color w:val="1B1B1B"/>
                <w:sz w:val="16"/>
                <w:szCs w:val="16"/>
                <w:lang w:val="pt-PT"/>
              </w:rPr>
              <w:t>Subindicador 4.1: 0</w:t>
            </w:r>
          </w:p>
          <w:p w14:paraId="1C12CD04" w14:textId="77777777" w:rsidR="009B1DCD" w:rsidRPr="008A14B0" w:rsidRDefault="009B1DCD" w:rsidP="009B1DCD">
            <w:pPr>
              <w:pBdr>
                <w:top w:val="nil"/>
                <w:left w:val="nil"/>
                <w:bottom w:val="nil"/>
                <w:right w:val="nil"/>
                <w:between w:val="nil"/>
              </w:pBdr>
              <w:jc w:val="left"/>
              <w:rPr>
                <w:rFonts w:asciiTheme="majorHAnsi" w:hAnsiTheme="majorHAnsi" w:cstheme="majorHAnsi"/>
                <w:color w:val="1B1B1B"/>
                <w:sz w:val="16"/>
                <w:szCs w:val="16"/>
                <w:lang w:val="pt-PT"/>
              </w:rPr>
            </w:pPr>
            <w:r w:rsidRPr="008A14B0">
              <w:rPr>
                <w:rFonts w:asciiTheme="majorHAnsi" w:hAnsiTheme="majorHAnsi" w:cstheme="majorHAnsi"/>
                <w:color w:val="1B1B1B"/>
                <w:sz w:val="16"/>
                <w:szCs w:val="16"/>
                <w:lang w:val="pt-PT"/>
              </w:rPr>
              <w:t>Subindicador 4.3: 0</w:t>
            </w:r>
          </w:p>
          <w:p w14:paraId="184FCFBF"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Subindicador 4.4: 0</w:t>
            </w:r>
          </w:p>
          <w:p w14:paraId="2FA88539" w14:textId="48E19C31"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1B1B1B"/>
                <w:sz w:val="16"/>
                <w:szCs w:val="16"/>
              </w:rPr>
              <w:t xml:space="preserve">No se dispone de información sobre la superficie estimada de </w:t>
            </w:r>
            <w:r w:rsidRPr="00DE692F">
              <w:rPr>
                <w:rFonts w:asciiTheme="majorHAnsi" w:hAnsiTheme="majorHAnsi" w:cstheme="majorHAnsi"/>
                <w:color w:val="000000"/>
                <w:sz w:val="16"/>
                <w:szCs w:val="16"/>
              </w:rPr>
              <w:t>PBPM</w:t>
            </w:r>
            <w:r w:rsidRPr="00DE692F">
              <w:rPr>
                <w:rFonts w:asciiTheme="majorHAnsi" w:hAnsiTheme="majorHAnsi" w:cstheme="majorHAnsi"/>
                <w:color w:val="1B1B1B"/>
                <w:sz w:val="16"/>
                <w:szCs w:val="16"/>
              </w:rPr>
              <w:t>. Esta línea base se actualizará antes del Informe de Implementación del Proyecto (PIR) de 2025.</w:t>
            </w:r>
          </w:p>
        </w:tc>
        <w:tc>
          <w:tcPr>
            <w:tcW w:w="580" w:type="pct"/>
            <w:vAlign w:val="center"/>
          </w:tcPr>
          <w:p w14:paraId="45CA17B8"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200,000 hectáreas de PBPM</w:t>
            </w:r>
          </w:p>
          <w:p w14:paraId="74FCC3A2" w14:textId="77777777" w:rsidR="009B1DCD" w:rsidRPr="008A14B0" w:rsidRDefault="009B1DCD" w:rsidP="009B1DCD">
            <w:pP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Sub indicador 4.1: 180,128 hectáreas</w:t>
            </w:r>
          </w:p>
          <w:p w14:paraId="1FEA1D3B" w14:textId="4DF80D12" w:rsidR="009B1DCD" w:rsidRPr="008A14B0" w:rsidRDefault="009B1DCD" w:rsidP="009B1DCD">
            <w:pP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Sub indicador 4.3: 11,425 hectáreas</w:t>
            </w:r>
          </w:p>
          <w:p w14:paraId="7370322D" w14:textId="77777777" w:rsidR="009B1DCD" w:rsidRPr="008A14B0" w:rsidRDefault="009B1DCD" w:rsidP="009B1DCD">
            <w:pP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Sub indicador 4.4: 8,447 hectáreas</w:t>
            </w:r>
          </w:p>
          <w:p w14:paraId="6F0B96F9" w14:textId="77777777" w:rsidR="009B1DCD" w:rsidRPr="008A14B0" w:rsidRDefault="009B1DCD" w:rsidP="009B1DCD">
            <w:pPr>
              <w:spacing w:after="0"/>
              <w:jc w:val="left"/>
              <w:rPr>
                <w:rFonts w:asciiTheme="minorHAnsi" w:eastAsiaTheme="minorEastAsia" w:hAnsiTheme="minorHAnsi" w:cstheme="minorHAnsi"/>
                <w:sz w:val="16"/>
                <w:szCs w:val="16"/>
                <w:lang w:val="pt-PT"/>
              </w:rPr>
            </w:pPr>
          </w:p>
        </w:tc>
        <w:tc>
          <w:tcPr>
            <w:tcW w:w="565" w:type="pct"/>
            <w:vAlign w:val="center"/>
          </w:tcPr>
          <w:p w14:paraId="3241EF12" w14:textId="77777777" w:rsidR="009B1DCD" w:rsidRPr="008A14B0" w:rsidRDefault="009B1DCD" w:rsidP="009B1DCD">
            <w:pPr>
              <w:pBdr>
                <w:top w:val="nil"/>
                <w:left w:val="nil"/>
                <w:bottom w:val="nil"/>
                <w:right w:val="nil"/>
                <w:between w:val="nil"/>
              </w:pBd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1,050,362 hectáreas de PBPM</w:t>
            </w:r>
          </w:p>
          <w:p w14:paraId="267D4FCB" w14:textId="77777777" w:rsidR="009B1DCD" w:rsidRPr="008A14B0" w:rsidRDefault="009B1DCD" w:rsidP="009B1DCD">
            <w:pP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Sub indicador 4.1: 946,000 hectáreas</w:t>
            </w:r>
          </w:p>
          <w:p w14:paraId="306AF8D0" w14:textId="401A3FC2" w:rsidR="009B1DCD" w:rsidRPr="008A14B0" w:rsidRDefault="009B1DCD" w:rsidP="009B1DCD">
            <w:pPr>
              <w:jc w:val="left"/>
              <w:rPr>
                <w:rFonts w:asciiTheme="minorHAnsi" w:hAnsiTheme="minorHAnsi" w:cstheme="minorHAnsi"/>
                <w:color w:val="1B1B1B"/>
                <w:sz w:val="16"/>
                <w:szCs w:val="16"/>
                <w:lang w:val="pt-PT"/>
              </w:rPr>
            </w:pPr>
            <w:r w:rsidRPr="008A14B0">
              <w:rPr>
                <w:rFonts w:asciiTheme="minorHAnsi" w:hAnsiTheme="minorHAnsi" w:cstheme="minorHAnsi"/>
                <w:color w:val="1B1B1B"/>
                <w:sz w:val="16"/>
                <w:szCs w:val="16"/>
                <w:lang w:val="pt-PT"/>
              </w:rPr>
              <w:t>Sub indicador 4.3: 60,000 hectáreas</w:t>
            </w:r>
          </w:p>
          <w:p w14:paraId="4C04A73D" w14:textId="12D803C7" w:rsidR="009B1DCD" w:rsidRPr="008A14B0" w:rsidRDefault="009B1DCD" w:rsidP="009B1DCD">
            <w:pPr>
              <w:spacing w:after="0"/>
              <w:jc w:val="left"/>
              <w:rPr>
                <w:rFonts w:asciiTheme="minorHAnsi" w:eastAsiaTheme="minorEastAsia" w:hAnsiTheme="minorHAnsi" w:cstheme="minorHAnsi"/>
                <w:sz w:val="16"/>
                <w:szCs w:val="16"/>
                <w:lang w:val="pt-PT"/>
              </w:rPr>
            </w:pPr>
            <w:r w:rsidRPr="008A14B0">
              <w:rPr>
                <w:rFonts w:asciiTheme="minorHAnsi" w:hAnsiTheme="minorHAnsi" w:cstheme="minorHAnsi"/>
                <w:color w:val="1B1B1B"/>
                <w:sz w:val="16"/>
                <w:szCs w:val="16"/>
                <w:lang w:val="pt-PT"/>
              </w:rPr>
              <w:t>Sub indicador 4.4: 44,362 hectáreas</w:t>
            </w:r>
          </w:p>
        </w:tc>
        <w:tc>
          <w:tcPr>
            <w:tcW w:w="484" w:type="pct"/>
            <w:vAlign w:val="center"/>
          </w:tcPr>
          <w:p w14:paraId="2AABC24C" w14:textId="26E7614B" w:rsidR="009B1DCD" w:rsidRPr="00DE692F" w:rsidRDefault="000039F8" w:rsidP="00D61877">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01E61432" w14:textId="77777777" w:rsidR="009B5A40" w:rsidRPr="00DE692F" w:rsidRDefault="009B5A40" w:rsidP="009B5A40">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72A1806D" w14:textId="2756DEB1" w:rsidR="009B5A40" w:rsidRPr="00DE692F" w:rsidRDefault="006E60EC" w:rsidP="009B5A40">
            <w:pPr>
              <w:pStyle w:val="Default"/>
              <w:rPr>
                <w:rFonts w:asciiTheme="minorHAnsi" w:hAnsiTheme="minorHAnsi" w:cstheme="minorHAnsi"/>
                <w:sz w:val="16"/>
                <w:szCs w:val="16"/>
              </w:rPr>
            </w:pPr>
            <w:r w:rsidRPr="006E60EC">
              <w:rPr>
                <w:rFonts w:asciiTheme="minorHAnsi" w:hAnsiTheme="minorHAnsi" w:cstheme="minorHAnsi"/>
                <w:sz w:val="16"/>
                <w:szCs w:val="16"/>
              </w:rPr>
              <w:t>652.53</w:t>
            </w:r>
            <w:r>
              <w:rPr>
                <w:rFonts w:asciiTheme="minorHAnsi" w:hAnsiTheme="minorHAnsi" w:cstheme="minorHAnsi"/>
                <w:sz w:val="16"/>
                <w:szCs w:val="16"/>
              </w:rPr>
              <w:t xml:space="preserve"> </w:t>
            </w:r>
            <w:r w:rsidR="009B5A40" w:rsidRPr="00DE692F">
              <w:rPr>
                <w:rFonts w:asciiTheme="minorHAnsi" w:hAnsiTheme="minorHAnsi" w:cstheme="minorHAnsi"/>
                <w:sz w:val="16"/>
                <w:szCs w:val="16"/>
              </w:rPr>
              <w:t>ha (0</w:t>
            </w:r>
            <w:r w:rsidR="003D2674" w:rsidRPr="00DE692F">
              <w:rPr>
                <w:rFonts w:asciiTheme="minorHAnsi" w:hAnsiTheme="minorHAnsi" w:cstheme="minorHAnsi"/>
                <w:sz w:val="16"/>
                <w:szCs w:val="16"/>
              </w:rPr>
              <w:t>.</w:t>
            </w:r>
            <w:r>
              <w:rPr>
                <w:rFonts w:asciiTheme="minorHAnsi" w:hAnsiTheme="minorHAnsi" w:cstheme="minorHAnsi"/>
                <w:sz w:val="16"/>
                <w:szCs w:val="16"/>
              </w:rPr>
              <w:t>06</w:t>
            </w:r>
            <w:r w:rsidR="009B5A40" w:rsidRPr="00DE692F">
              <w:rPr>
                <w:rFonts w:asciiTheme="minorHAnsi" w:hAnsiTheme="minorHAnsi" w:cstheme="minorHAnsi"/>
                <w:sz w:val="16"/>
                <w:szCs w:val="16"/>
              </w:rPr>
              <w:t xml:space="preserve">%) </w:t>
            </w:r>
          </w:p>
          <w:p w14:paraId="452FBEAD" w14:textId="72DBFDC9" w:rsidR="009B1DCD" w:rsidRPr="00DE692F" w:rsidRDefault="009B5A40" w:rsidP="009B5A40">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Este indicador y objetivo se alcanzará </w:t>
            </w:r>
            <w:r w:rsidR="00DA1AFD">
              <w:rPr>
                <w:rFonts w:asciiTheme="minorHAnsi" w:hAnsiTheme="minorHAnsi" w:cstheme="minorHAnsi"/>
                <w:sz w:val="16"/>
                <w:szCs w:val="16"/>
              </w:rPr>
              <w:t>en los plazos esperados</w:t>
            </w:r>
            <w:r w:rsidRPr="00DE692F">
              <w:rPr>
                <w:rFonts w:asciiTheme="minorHAnsi" w:hAnsiTheme="minorHAnsi" w:cstheme="minorHAnsi"/>
                <w:sz w:val="16"/>
                <w:szCs w:val="16"/>
              </w:rPr>
              <w:t xml:space="preserve">. </w:t>
            </w:r>
          </w:p>
          <w:p w14:paraId="4AAC2036" w14:textId="77777777" w:rsidR="004104A6" w:rsidRPr="00DE692F" w:rsidRDefault="004104A6" w:rsidP="009B5A40">
            <w:pPr>
              <w:spacing w:after="0"/>
              <w:jc w:val="left"/>
              <w:rPr>
                <w:rFonts w:asciiTheme="minorHAnsi" w:hAnsiTheme="minorHAnsi" w:cstheme="minorHAnsi"/>
                <w:sz w:val="16"/>
                <w:szCs w:val="16"/>
              </w:rPr>
            </w:pPr>
          </w:p>
          <w:p w14:paraId="45C718F4" w14:textId="77777777" w:rsidR="00C75185" w:rsidRDefault="00C75185" w:rsidP="009B5A40">
            <w:pPr>
              <w:spacing w:after="0"/>
              <w:jc w:val="left"/>
              <w:rPr>
                <w:rFonts w:asciiTheme="minorHAnsi" w:hAnsiTheme="minorHAnsi" w:cstheme="minorHAnsi"/>
                <w:sz w:val="16"/>
                <w:szCs w:val="16"/>
                <w:highlight w:val="yellow"/>
              </w:rPr>
            </w:pPr>
          </w:p>
          <w:p w14:paraId="5D82EB83" w14:textId="477B41EF" w:rsidR="00C75185" w:rsidRPr="00E44CD7" w:rsidRDefault="00C75185" w:rsidP="009B5A40">
            <w:pPr>
              <w:spacing w:after="0"/>
              <w:jc w:val="left"/>
              <w:rPr>
                <w:rFonts w:asciiTheme="minorHAnsi" w:hAnsiTheme="minorHAnsi" w:cstheme="minorHAnsi"/>
                <w:sz w:val="16"/>
                <w:szCs w:val="16"/>
              </w:rPr>
            </w:pPr>
            <w:r w:rsidRPr="00E44CD7">
              <w:rPr>
                <w:rFonts w:asciiTheme="minorHAnsi" w:hAnsiTheme="minorHAnsi" w:cstheme="minorHAnsi"/>
                <w:sz w:val="16"/>
                <w:szCs w:val="16"/>
              </w:rPr>
              <w:t>5</w:t>
            </w:r>
            <w:r w:rsidR="002C2AEA" w:rsidRPr="00E44CD7">
              <w:rPr>
                <w:rFonts w:asciiTheme="minorHAnsi" w:hAnsiTheme="minorHAnsi" w:cstheme="minorHAnsi"/>
                <w:sz w:val="16"/>
                <w:szCs w:val="16"/>
              </w:rPr>
              <w:t>94.96</w:t>
            </w:r>
            <w:r w:rsidRPr="00E44CD7">
              <w:rPr>
                <w:rFonts w:asciiTheme="minorHAnsi" w:hAnsiTheme="minorHAnsi" w:cstheme="minorHAnsi"/>
                <w:sz w:val="16"/>
                <w:szCs w:val="16"/>
              </w:rPr>
              <w:t xml:space="preserve"> ha georreferenciadas y caracterizadas que corresponden a fincas de productores de café incorporadas al sistema de trazabilidad de la Cooperativa APROCASSI, el cual constituye un instrumento de gestión que verifica el cumplimiento de criterios de producción libre de deforestación (monitoreo del uso del suelo, asegurar la trazabilidad y garantizar que las áreas productivas se encuentren bajo manejo sostenible)</w:t>
            </w:r>
          </w:p>
          <w:p w14:paraId="57267D74" w14:textId="77777777" w:rsidR="00C75185" w:rsidRPr="00E44CD7" w:rsidRDefault="00C75185" w:rsidP="009B5A40">
            <w:pPr>
              <w:spacing w:after="0"/>
              <w:jc w:val="left"/>
              <w:rPr>
                <w:rFonts w:asciiTheme="minorHAnsi" w:hAnsiTheme="minorHAnsi" w:cstheme="minorHAnsi"/>
                <w:sz w:val="16"/>
                <w:szCs w:val="16"/>
              </w:rPr>
            </w:pPr>
          </w:p>
          <w:p w14:paraId="159FD84A" w14:textId="03498375" w:rsidR="00270ECD" w:rsidRPr="00E44CD7" w:rsidRDefault="00C75185" w:rsidP="009B5A40">
            <w:pPr>
              <w:spacing w:after="0"/>
              <w:jc w:val="left"/>
              <w:rPr>
                <w:rFonts w:asciiTheme="minorHAnsi" w:hAnsiTheme="minorHAnsi" w:cstheme="minorHAnsi"/>
                <w:sz w:val="16"/>
                <w:szCs w:val="16"/>
              </w:rPr>
            </w:pPr>
            <w:r w:rsidRPr="00E44CD7">
              <w:rPr>
                <w:rFonts w:asciiTheme="minorHAnsi" w:hAnsiTheme="minorHAnsi" w:cstheme="minorHAnsi"/>
                <w:sz w:val="16"/>
                <w:szCs w:val="16"/>
              </w:rPr>
              <w:t>57</w:t>
            </w:r>
            <w:r w:rsidR="00270ECD" w:rsidRPr="00E44CD7">
              <w:rPr>
                <w:rFonts w:asciiTheme="minorHAnsi" w:hAnsiTheme="minorHAnsi" w:cstheme="minorHAnsi"/>
                <w:sz w:val="16"/>
                <w:szCs w:val="16"/>
              </w:rPr>
              <w:t>.57 hectáreas</w:t>
            </w:r>
            <w:r w:rsidR="004104A6" w:rsidRPr="00E44CD7">
              <w:rPr>
                <w:rFonts w:asciiTheme="minorHAnsi" w:hAnsiTheme="minorHAnsi" w:cstheme="minorHAnsi"/>
                <w:sz w:val="16"/>
                <w:szCs w:val="16"/>
              </w:rPr>
              <w:t xml:space="preserve"> </w:t>
            </w:r>
            <w:r w:rsidRPr="00E44CD7">
              <w:rPr>
                <w:rFonts w:asciiTheme="minorHAnsi" w:hAnsiTheme="minorHAnsi" w:cstheme="minorHAnsi"/>
                <w:sz w:val="16"/>
                <w:szCs w:val="16"/>
              </w:rPr>
              <w:t xml:space="preserve">aprobadas </w:t>
            </w:r>
            <w:r w:rsidR="004104A6" w:rsidRPr="00E44CD7">
              <w:rPr>
                <w:rFonts w:asciiTheme="minorHAnsi" w:hAnsiTheme="minorHAnsi" w:cstheme="minorHAnsi"/>
                <w:sz w:val="16"/>
                <w:szCs w:val="16"/>
              </w:rPr>
              <w:t xml:space="preserve">para la suscripción de </w:t>
            </w:r>
            <w:r w:rsidR="00270ECD" w:rsidRPr="00E44CD7">
              <w:rPr>
                <w:rFonts w:asciiTheme="minorHAnsi" w:hAnsiTheme="minorHAnsi" w:cstheme="minorHAnsi"/>
                <w:sz w:val="16"/>
                <w:szCs w:val="16"/>
              </w:rPr>
              <w:t xml:space="preserve">CCUSAF en </w:t>
            </w:r>
            <w:r w:rsidR="00E85AC7" w:rsidRPr="00E44CD7">
              <w:rPr>
                <w:rFonts w:asciiTheme="minorHAnsi" w:hAnsiTheme="minorHAnsi" w:cstheme="minorHAnsi"/>
                <w:sz w:val="16"/>
                <w:szCs w:val="16"/>
              </w:rPr>
              <w:t>el Distrito de Tabaconas,</w:t>
            </w:r>
            <w:r w:rsidR="00270ECD" w:rsidRPr="00E44CD7">
              <w:rPr>
                <w:rFonts w:asciiTheme="minorHAnsi" w:hAnsiTheme="minorHAnsi" w:cstheme="minorHAnsi"/>
                <w:sz w:val="16"/>
                <w:szCs w:val="16"/>
              </w:rPr>
              <w:t xml:space="preserve"> Provincia de San Ignacio</w:t>
            </w:r>
            <w:r w:rsidRPr="00E44CD7">
              <w:rPr>
                <w:rFonts w:asciiTheme="minorHAnsi" w:hAnsiTheme="minorHAnsi" w:cstheme="minorHAnsi"/>
                <w:sz w:val="16"/>
                <w:szCs w:val="16"/>
              </w:rPr>
              <w:t>, realizando como apoyo a la ATFFS Cajamarca como parte de la gestión sostenible del uso de la tierra.</w:t>
            </w:r>
          </w:p>
          <w:p w14:paraId="4D500ACD" w14:textId="77777777" w:rsidR="003C40A2" w:rsidRPr="00E44CD7" w:rsidRDefault="003C40A2" w:rsidP="009B5A40">
            <w:pPr>
              <w:spacing w:after="0"/>
              <w:jc w:val="left"/>
              <w:rPr>
                <w:rFonts w:asciiTheme="minorHAnsi" w:hAnsiTheme="minorHAnsi" w:cstheme="minorHAnsi"/>
                <w:sz w:val="16"/>
                <w:szCs w:val="16"/>
              </w:rPr>
            </w:pPr>
          </w:p>
          <w:p w14:paraId="792B39BF" w14:textId="61EEAE6B" w:rsidR="00270ECD" w:rsidRDefault="006E60EC" w:rsidP="009B5A40">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Para el 2026, se continuará trabajando con las cooperativas para apoyar la verificación de la libre deforestación bajo la normatividad EUDR, así como el otorgamiento de polígonos en coordinación con las autoridades responsables. Además, se prevé la aprobación de PDT </w:t>
            </w:r>
            <w:r w:rsidR="00C635EC">
              <w:rPr>
                <w:rFonts w:asciiTheme="minorHAnsi" w:eastAsiaTheme="minorEastAsia" w:hAnsiTheme="minorHAnsi" w:cstheme="minorHAnsi"/>
                <w:sz w:val="16"/>
                <w:szCs w:val="16"/>
              </w:rPr>
              <w:t xml:space="preserve">que incorporan la GIP y </w:t>
            </w:r>
            <w:r w:rsidRPr="00E44CD7">
              <w:rPr>
                <w:rFonts w:asciiTheme="minorHAnsi" w:eastAsiaTheme="minorEastAsia" w:hAnsiTheme="minorHAnsi" w:cstheme="minorHAnsi"/>
                <w:sz w:val="16"/>
                <w:szCs w:val="16"/>
              </w:rPr>
              <w:t>que contribuirán con esta meta, así como planes de manejo para concesiones de conservación</w:t>
            </w:r>
            <w:r w:rsidR="00C635EC">
              <w:rPr>
                <w:rFonts w:asciiTheme="minorHAnsi" w:eastAsiaTheme="minorEastAsia" w:hAnsiTheme="minorHAnsi" w:cstheme="minorHAnsi"/>
                <w:sz w:val="16"/>
                <w:szCs w:val="16"/>
              </w:rPr>
              <w:t>.</w:t>
            </w:r>
          </w:p>
          <w:p w14:paraId="1A49B08F" w14:textId="6E2C3540" w:rsidR="009254BB" w:rsidRPr="00DE692F" w:rsidRDefault="009254BB" w:rsidP="009B5A40">
            <w:pPr>
              <w:spacing w:after="0"/>
              <w:jc w:val="left"/>
              <w:rPr>
                <w:rFonts w:asciiTheme="minorHAnsi" w:eastAsiaTheme="minorEastAsia" w:hAnsiTheme="minorHAnsi" w:cstheme="minorHAnsi"/>
                <w:sz w:val="16"/>
                <w:szCs w:val="16"/>
              </w:rPr>
            </w:pPr>
          </w:p>
        </w:tc>
      </w:tr>
      <w:tr w:rsidR="009B1DCD" w:rsidRPr="00DE692F" w14:paraId="4C917A7A" w14:textId="77777777" w:rsidTr="00D61877">
        <w:trPr>
          <w:trHeight w:val="23"/>
        </w:trPr>
        <w:tc>
          <w:tcPr>
            <w:tcW w:w="746" w:type="pct"/>
            <w:vMerge/>
            <w:vAlign w:val="center"/>
          </w:tcPr>
          <w:p w14:paraId="25698496" w14:textId="77777777" w:rsidR="009B1DCD" w:rsidRPr="00DE692F" w:rsidRDefault="009B1DCD" w:rsidP="009B1DCD">
            <w:pPr>
              <w:spacing w:after="0"/>
              <w:rPr>
                <w:rFonts w:asciiTheme="majorHAnsi" w:eastAsiaTheme="minorEastAsia" w:hAnsiTheme="majorHAnsi" w:cstheme="majorHAnsi"/>
                <w:b/>
                <w:bCs/>
                <w:sz w:val="16"/>
                <w:szCs w:val="16"/>
              </w:rPr>
            </w:pPr>
          </w:p>
        </w:tc>
        <w:tc>
          <w:tcPr>
            <w:tcW w:w="555" w:type="pct"/>
            <w:vAlign w:val="center"/>
          </w:tcPr>
          <w:p w14:paraId="5C103B84" w14:textId="19F97002" w:rsidR="009B1DCD" w:rsidRPr="00DE692F" w:rsidRDefault="009B1DCD" w:rsidP="009B1DCD">
            <w:pPr>
              <w:spacing w:after="0"/>
              <w:rPr>
                <w:rFonts w:asciiTheme="majorHAnsi" w:eastAsiaTheme="minorEastAsia" w:hAnsiTheme="majorHAnsi" w:cstheme="majorHAnsi"/>
                <w:sz w:val="16"/>
                <w:szCs w:val="16"/>
              </w:rPr>
            </w:pPr>
            <w:r w:rsidRPr="00DE692F">
              <w:rPr>
                <w:rFonts w:asciiTheme="majorHAnsi" w:hAnsiTheme="majorHAnsi" w:cstheme="majorHAnsi"/>
                <w:b/>
                <w:color w:val="000000"/>
                <w:sz w:val="16"/>
                <w:szCs w:val="16"/>
              </w:rPr>
              <w:t>Indicador 4:</w:t>
            </w:r>
            <w:r w:rsidRPr="00DE692F">
              <w:rPr>
                <w:rFonts w:asciiTheme="majorHAnsi" w:hAnsiTheme="majorHAnsi" w:cstheme="majorHAnsi"/>
                <w:color w:val="000000"/>
                <w:sz w:val="16"/>
                <w:szCs w:val="16"/>
              </w:rPr>
              <w:t xml:space="preserve"> Emisiones de gases de efecto invernadero mitigadas (indicador básico 6 del GEF)</w:t>
            </w:r>
          </w:p>
        </w:tc>
        <w:tc>
          <w:tcPr>
            <w:tcW w:w="486" w:type="pct"/>
            <w:vAlign w:val="center"/>
          </w:tcPr>
          <w:p w14:paraId="51FAD564"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r w:rsidRPr="00DE692F">
              <w:rPr>
                <w:rFonts w:asciiTheme="majorHAnsi" w:hAnsiTheme="majorHAnsi" w:cstheme="majorHAnsi"/>
                <w:color w:val="1B1B1B"/>
                <w:sz w:val="16"/>
                <w:szCs w:val="16"/>
              </w:rPr>
              <w:t>2,563,423 toneladas de dióxido de carbono equivalente (CO₂e).</w:t>
            </w:r>
          </w:p>
          <w:p w14:paraId="1ED930F3"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1B1B1B"/>
                <w:sz w:val="16"/>
                <w:szCs w:val="16"/>
              </w:rPr>
            </w:pPr>
          </w:p>
          <w:p w14:paraId="75C82CAA" w14:textId="0D37A908"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1B1B1B"/>
                <w:sz w:val="16"/>
                <w:szCs w:val="16"/>
              </w:rPr>
              <w:t>Según la estimación de la herramienta EX-ACT realizada en PPG.</w:t>
            </w:r>
          </w:p>
        </w:tc>
        <w:tc>
          <w:tcPr>
            <w:tcW w:w="580" w:type="pct"/>
            <w:vAlign w:val="center"/>
          </w:tcPr>
          <w:p w14:paraId="6F239A8D"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202,000 hectáreas de área total bajo GIP</w:t>
            </w:r>
          </w:p>
          <w:p w14:paraId="43ED1479"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(GIP incluye: TR y PBPM)</w:t>
            </w:r>
          </w:p>
          <w:p w14:paraId="79374C88"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p>
          <w:p w14:paraId="597FF0CB"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6,785,565 tn de CO</w:t>
            </w:r>
            <w:r w:rsidRPr="00DE692F">
              <w:rPr>
                <w:rFonts w:asciiTheme="minorHAnsi" w:hAnsiTheme="minorHAnsi" w:cstheme="minorHAnsi"/>
                <w:color w:val="000000"/>
                <w:sz w:val="16"/>
                <w:szCs w:val="16"/>
                <w:vertAlign w:val="subscript"/>
              </w:rPr>
              <w:t>2</w:t>
            </w:r>
            <w:r w:rsidRPr="00DE692F">
              <w:rPr>
                <w:rFonts w:asciiTheme="minorHAnsi" w:hAnsiTheme="minorHAnsi" w:cstheme="minorHAnsi"/>
                <w:color w:val="000000"/>
                <w:sz w:val="16"/>
                <w:szCs w:val="16"/>
              </w:rPr>
              <w:t>e</w:t>
            </w:r>
          </w:p>
          <w:p w14:paraId="1C459176"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p>
          <w:p w14:paraId="33EA1D0E"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Derivado de 202,000 hectáreas bajo GIP.</w:t>
            </w:r>
          </w:p>
          <w:p w14:paraId="1B665D50" w14:textId="37697CF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(GIP incluye TR y paisajes bajo prácticas mejoradas) según estimación de la herramienta EX-ACT realizada en PPG.</w:t>
            </w:r>
          </w:p>
        </w:tc>
        <w:tc>
          <w:tcPr>
            <w:tcW w:w="565" w:type="pct"/>
            <w:vAlign w:val="center"/>
          </w:tcPr>
          <w:p w14:paraId="64EC42F5"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67,885,652 tn de CO</w:t>
            </w:r>
            <w:r w:rsidRPr="00DE692F">
              <w:rPr>
                <w:rFonts w:asciiTheme="minorHAnsi" w:hAnsiTheme="minorHAnsi" w:cstheme="minorHAnsi"/>
                <w:color w:val="000000"/>
                <w:sz w:val="16"/>
                <w:szCs w:val="16"/>
                <w:vertAlign w:val="subscript"/>
              </w:rPr>
              <w:t>2</w:t>
            </w:r>
            <w:r w:rsidRPr="00DE692F">
              <w:rPr>
                <w:rFonts w:asciiTheme="minorHAnsi" w:hAnsiTheme="minorHAnsi" w:cstheme="minorHAnsi"/>
                <w:color w:val="000000"/>
                <w:sz w:val="16"/>
                <w:szCs w:val="16"/>
              </w:rPr>
              <w:t>e</w:t>
            </w:r>
          </w:p>
          <w:p w14:paraId="56D19D6D"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p>
          <w:p w14:paraId="6F9600D0" w14:textId="42913211"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Derivado de 1,310,412 hectáreas de superficie bajo GIP según la estimación de la herramienta EX-ACT realizada en PPG.</w:t>
            </w:r>
          </w:p>
        </w:tc>
        <w:tc>
          <w:tcPr>
            <w:tcW w:w="484" w:type="pct"/>
            <w:vAlign w:val="center"/>
          </w:tcPr>
          <w:p w14:paraId="41167ABD" w14:textId="158C312C" w:rsidR="009B1DCD" w:rsidRPr="00DE692F" w:rsidRDefault="000039F8" w:rsidP="00D61877">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3A629774" w14:textId="77777777"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56B0F5E9" w14:textId="3FFC108E" w:rsidR="009B1DCD" w:rsidRDefault="008962AA" w:rsidP="008962AA">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0 </w:t>
            </w:r>
            <w:r w:rsidR="00A95A83" w:rsidRPr="00DE692F">
              <w:rPr>
                <w:rFonts w:asciiTheme="minorHAnsi" w:hAnsiTheme="minorHAnsi" w:cstheme="minorHAnsi"/>
                <w:sz w:val="16"/>
                <w:szCs w:val="16"/>
              </w:rPr>
              <w:t>emisiones</w:t>
            </w:r>
            <w:r w:rsidRPr="00DE692F">
              <w:rPr>
                <w:rFonts w:asciiTheme="minorHAnsi" w:hAnsiTheme="minorHAnsi" w:cstheme="minorHAnsi"/>
                <w:sz w:val="16"/>
                <w:szCs w:val="16"/>
              </w:rPr>
              <w:t xml:space="preserve"> de gases de efecto invernadero mitigadas (0%) </w:t>
            </w:r>
          </w:p>
          <w:p w14:paraId="2B53CCB0" w14:textId="77777777" w:rsidR="00C635EC" w:rsidRPr="00DE692F" w:rsidRDefault="00C635EC" w:rsidP="008962AA">
            <w:pPr>
              <w:spacing w:after="0"/>
              <w:jc w:val="left"/>
              <w:rPr>
                <w:rFonts w:asciiTheme="minorHAnsi" w:hAnsiTheme="minorHAnsi" w:cstheme="minorHAnsi"/>
                <w:sz w:val="16"/>
                <w:szCs w:val="16"/>
              </w:rPr>
            </w:pPr>
          </w:p>
          <w:p w14:paraId="0349046C" w14:textId="4F41281A" w:rsidR="00A45668" w:rsidRDefault="008962AA" w:rsidP="008962AA">
            <w:pPr>
              <w:pStyle w:val="Default"/>
            </w:pPr>
            <w:r w:rsidRPr="003E310D">
              <w:rPr>
                <w:rFonts w:asciiTheme="minorHAnsi" w:hAnsiTheme="minorHAnsi" w:cstheme="minorHAnsi"/>
                <w:sz w:val="16"/>
                <w:szCs w:val="16"/>
              </w:rPr>
              <w:t xml:space="preserve">Este indicador se </w:t>
            </w:r>
            <w:r w:rsidR="00C75185" w:rsidRPr="003E310D">
              <w:rPr>
                <w:rFonts w:asciiTheme="minorHAnsi" w:hAnsiTheme="minorHAnsi" w:cstheme="minorHAnsi"/>
                <w:sz w:val="16"/>
                <w:szCs w:val="16"/>
              </w:rPr>
              <w:t xml:space="preserve">calcula sobre la base de hectáreas bajo la GIP (indicador 2 y3), </w:t>
            </w:r>
            <w:r w:rsidR="00C635EC" w:rsidRPr="003E310D">
              <w:rPr>
                <w:rFonts w:asciiTheme="minorHAnsi" w:hAnsiTheme="minorHAnsi" w:cstheme="minorHAnsi"/>
                <w:sz w:val="16"/>
                <w:szCs w:val="16"/>
              </w:rPr>
              <w:t>hectáreas que serán alcanzadas</w:t>
            </w:r>
            <w:r w:rsidRPr="003E310D">
              <w:rPr>
                <w:rFonts w:asciiTheme="minorHAnsi" w:hAnsiTheme="minorHAnsi" w:cstheme="minorHAnsi"/>
                <w:sz w:val="16"/>
                <w:szCs w:val="16"/>
              </w:rPr>
              <w:t xml:space="preserve"> </w:t>
            </w:r>
            <w:r w:rsidR="00C635EC" w:rsidRPr="003E310D">
              <w:rPr>
                <w:rFonts w:asciiTheme="minorHAnsi" w:hAnsiTheme="minorHAnsi" w:cstheme="minorHAnsi"/>
                <w:sz w:val="16"/>
                <w:szCs w:val="16"/>
              </w:rPr>
              <w:t>a partir del 2026</w:t>
            </w:r>
            <w:r w:rsidRPr="003E310D">
              <w:rPr>
                <w:rFonts w:asciiTheme="minorHAnsi" w:hAnsiTheme="minorHAnsi" w:cstheme="minorHAnsi"/>
                <w:sz w:val="16"/>
                <w:szCs w:val="16"/>
              </w:rPr>
              <w:t xml:space="preserve">. </w:t>
            </w:r>
            <w:r w:rsidR="002F1085" w:rsidRPr="00DE692F">
              <w:t xml:space="preserve"> </w:t>
            </w:r>
          </w:p>
          <w:p w14:paraId="166F72BD" w14:textId="1CB0077F" w:rsidR="008962AA" w:rsidRPr="00DE692F" w:rsidRDefault="00A45668"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Por ello, para el informe </w:t>
            </w:r>
            <w:r w:rsidR="00C635EC">
              <w:rPr>
                <w:rFonts w:asciiTheme="minorHAnsi" w:hAnsiTheme="minorHAnsi" w:cstheme="minorHAnsi"/>
                <w:sz w:val="16"/>
                <w:szCs w:val="16"/>
              </w:rPr>
              <w:t>2026</w:t>
            </w:r>
            <w:r w:rsidRPr="00E44CD7">
              <w:rPr>
                <w:rFonts w:asciiTheme="minorHAnsi" w:hAnsiTheme="minorHAnsi" w:cstheme="minorHAnsi"/>
                <w:sz w:val="16"/>
                <w:szCs w:val="16"/>
              </w:rPr>
              <w:t>, se realizará el cálculo correspondiente considerando que ya se contará con mayor número de hectáreas bajo la GIP. Adicionalmente, d</w:t>
            </w:r>
            <w:r w:rsidR="007D6FB2" w:rsidRPr="00E44CD7">
              <w:rPr>
                <w:rFonts w:asciiTheme="minorHAnsi" w:hAnsiTheme="minorHAnsi" w:cstheme="minorHAnsi"/>
                <w:sz w:val="16"/>
                <w:szCs w:val="16"/>
              </w:rPr>
              <w:t>urante el año 2025, se desarrolló el Servicio especializado para la estimación, monitoreo y reporte de gases de efecto invernadero (GEI) atribuibles a las intervenciones del proyecto GEF 10307: “Cadenas de Valor Libres de Deforestación en la Amazonía Peruana” (Proyecto FOLUR)”</w:t>
            </w:r>
            <w:r w:rsidR="00C635EC">
              <w:rPr>
                <w:rFonts w:asciiTheme="minorHAnsi" w:hAnsiTheme="minorHAnsi" w:cstheme="minorHAnsi"/>
                <w:sz w:val="16"/>
                <w:szCs w:val="16"/>
              </w:rPr>
              <w:t>. Mediante este servicio se cuenta con</w:t>
            </w:r>
            <w:r w:rsidR="007D6FB2" w:rsidRPr="00E44CD7">
              <w:rPr>
                <w:rFonts w:asciiTheme="minorHAnsi" w:hAnsiTheme="minorHAnsi" w:cstheme="minorHAnsi"/>
                <w:sz w:val="16"/>
                <w:szCs w:val="16"/>
              </w:rPr>
              <w:t xml:space="preserve"> las herramientas para el cálculo </w:t>
            </w:r>
            <w:r w:rsidR="00C635EC">
              <w:rPr>
                <w:rFonts w:asciiTheme="minorHAnsi" w:hAnsiTheme="minorHAnsi" w:cstheme="minorHAnsi"/>
                <w:sz w:val="16"/>
                <w:szCs w:val="16"/>
              </w:rPr>
              <w:t xml:space="preserve">y el monitoreo </w:t>
            </w:r>
            <w:r w:rsidR="007D6FB2" w:rsidRPr="00E44CD7">
              <w:rPr>
                <w:rFonts w:asciiTheme="minorHAnsi" w:hAnsiTheme="minorHAnsi" w:cstheme="minorHAnsi"/>
                <w:sz w:val="16"/>
                <w:szCs w:val="16"/>
              </w:rPr>
              <w:t>de las emisiones de gases de efecto invernadero</w:t>
            </w:r>
            <w:r w:rsidRPr="00E44CD7">
              <w:rPr>
                <w:rFonts w:asciiTheme="minorHAnsi" w:hAnsiTheme="minorHAnsi" w:cstheme="minorHAnsi"/>
                <w:sz w:val="16"/>
                <w:szCs w:val="16"/>
              </w:rPr>
              <w:t xml:space="preserve"> bajo la metodología que utiliza el MINAM, a fin de identificar la NDC a la que aporta, esta información también será calculada</w:t>
            </w:r>
            <w:r w:rsidR="001143BD" w:rsidRPr="00E44CD7">
              <w:rPr>
                <w:rFonts w:asciiTheme="minorHAnsi" w:hAnsiTheme="minorHAnsi" w:cstheme="minorHAnsi"/>
                <w:sz w:val="16"/>
                <w:szCs w:val="16"/>
              </w:rPr>
              <w:t xml:space="preserve"> y reportada</w:t>
            </w:r>
            <w:r w:rsidRPr="00E44CD7">
              <w:rPr>
                <w:rFonts w:asciiTheme="minorHAnsi" w:hAnsiTheme="minorHAnsi" w:cstheme="minorHAnsi"/>
                <w:sz w:val="16"/>
                <w:szCs w:val="16"/>
              </w:rPr>
              <w:t xml:space="preserve"> posteriormente.</w:t>
            </w:r>
            <w:r>
              <w:rPr>
                <w:rFonts w:asciiTheme="minorHAnsi" w:hAnsiTheme="minorHAnsi" w:cstheme="minorHAnsi"/>
                <w:sz w:val="16"/>
                <w:szCs w:val="16"/>
              </w:rPr>
              <w:t xml:space="preserve"> </w:t>
            </w:r>
            <w:r w:rsidR="00281D30" w:rsidRPr="00DE692F">
              <w:rPr>
                <w:rFonts w:asciiTheme="minorHAnsi" w:hAnsiTheme="minorHAnsi" w:cstheme="minorHAnsi"/>
                <w:sz w:val="16"/>
                <w:szCs w:val="16"/>
              </w:rPr>
              <w:t xml:space="preserve"> </w:t>
            </w:r>
          </w:p>
        </w:tc>
      </w:tr>
      <w:tr w:rsidR="009B1DCD" w:rsidRPr="00DE692F" w14:paraId="7DB09FD4" w14:textId="77777777" w:rsidTr="00D61877">
        <w:trPr>
          <w:trHeight w:val="23"/>
        </w:trPr>
        <w:tc>
          <w:tcPr>
            <w:tcW w:w="746" w:type="pct"/>
            <w:vMerge w:val="restart"/>
            <w:vAlign w:val="center"/>
          </w:tcPr>
          <w:p w14:paraId="41B75511" w14:textId="526DB087"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t xml:space="preserve">Componente 1: </w:t>
            </w:r>
            <w:r w:rsidRPr="00DE692F">
              <w:rPr>
                <w:rFonts w:asciiTheme="majorHAnsi" w:hAnsiTheme="majorHAnsi" w:cstheme="majorHAnsi"/>
                <w:b/>
                <w:sz w:val="16"/>
                <w:szCs w:val="16"/>
              </w:rPr>
              <w:t xml:space="preserve"> </w:t>
            </w:r>
            <w:r w:rsidRPr="00DE692F">
              <w:rPr>
                <w:rFonts w:asciiTheme="majorHAnsi" w:hAnsiTheme="majorHAnsi" w:cstheme="majorHAnsi"/>
                <w:bCs/>
                <w:sz w:val="16"/>
                <w:szCs w:val="16"/>
              </w:rPr>
              <w:t>Desarrollo de sistemas de gestión integrada del paisaje (GIP).</w:t>
            </w:r>
          </w:p>
          <w:p w14:paraId="12C4BDC9" w14:textId="632596DD"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bCs/>
                <w:sz w:val="16"/>
                <w:szCs w:val="16"/>
              </w:rPr>
              <w:t xml:space="preserve">Resultado 1: </w:t>
            </w:r>
            <w:r w:rsidRPr="00DE692F">
              <w:rPr>
                <w:rFonts w:asciiTheme="majorHAnsi" w:hAnsiTheme="majorHAnsi" w:cstheme="majorHAnsi"/>
                <w:color w:val="000000"/>
                <w:sz w:val="16"/>
                <w:szCs w:val="16"/>
              </w:rPr>
              <w:t xml:space="preserve"> Los servicios de ecosistemas sostenibles y una buena gestión del paisaje están respaldados por un sistema GIP</w:t>
            </w:r>
          </w:p>
        </w:tc>
        <w:tc>
          <w:tcPr>
            <w:tcW w:w="555" w:type="pct"/>
            <w:vAlign w:val="center"/>
          </w:tcPr>
          <w:p w14:paraId="36E9EE32" w14:textId="52E917DC" w:rsidR="009B1DCD" w:rsidRPr="00DE692F" w:rsidRDefault="009B1DCD" w:rsidP="009B1DCD">
            <w:pPr>
              <w:spacing w:after="0"/>
              <w:rPr>
                <w:rFonts w:asciiTheme="majorHAnsi" w:eastAsiaTheme="minorEastAsia" w:hAnsiTheme="majorHAnsi" w:cstheme="majorHAnsi"/>
                <w:sz w:val="16"/>
                <w:szCs w:val="16"/>
              </w:rPr>
            </w:pPr>
            <w:r w:rsidRPr="00DE692F">
              <w:rPr>
                <w:rFonts w:asciiTheme="majorHAnsi" w:hAnsiTheme="majorHAnsi" w:cstheme="majorHAnsi"/>
                <w:b/>
                <w:color w:val="000000"/>
                <w:sz w:val="16"/>
                <w:szCs w:val="16"/>
              </w:rPr>
              <w:t>Indicador 5</w:t>
            </w:r>
            <w:r w:rsidRPr="00DE692F">
              <w:rPr>
                <w:rFonts w:asciiTheme="majorHAnsi" w:hAnsiTheme="majorHAnsi" w:cstheme="majorHAnsi"/>
                <w:color w:val="000000"/>
                <w:sz w:val="16"/>
                <w:szCs w:val="16"/>
              </w:rPr>
              <w:t>: Número de Planes de Desarrollo Territorial (PDT), a nivel local y regional, y Planes de Vida de los Pueblos Indígenas (PPVI) que incorporan la Gestión Integrada del Paisaje, que respaldan una buena gestión del paisaje, la provisión de servicios ecosistémicos sostenibles y marcos de gobernanza fortalecidos de las comunidades nativas.</w:t>
            </w:r>
          </w:p>
        </w:tc>
        <w:tc>
          <w:tcPr>
            <w:tcW w:w="486" w:type="pct"/>
            <w:vAlign w:val="center"/>
          </w:tcPr>
          <w:p w14:paraId="606A31E5" w14:textId="46580541"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01 Proceso de Zonificación Forestal (ZF) completado en la Región San Martín y 3 ZF en desarrollo en Amazona, Loreto y Cajamarca.</w:t>
            </w:r>
          </w:p>
        </w:tc>
        <w:tc>
          <w:tcPr>
            <w:tcW w:w="580" w:type="pct"/>
            <w:vAlign w:val="center"/>
          </w:tcPr>
          <w:p w14:paraId="2317B68C"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Dos (02) PDT y diez (10) PPVI incorporan la gestión integrada del paisaje que respaldan una buena gestión del paisaje, la provisión de servicios ecosistémicos sostenibles y marcos de gobernanza fortalecidos de las comunidades nativas.</w:t>
            </w:r>
          </w:p>
          <w:p w14:paraId="5FC2EB94"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p>
          <w:p w14:paraId="02C37F90" w14:textId="53D47AFC"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 los indicadores de nivel objetivo 2 y 3, que abarcan al menos 200,000 hectáreas en restauración y PBPM.</w:t>
            </w:r>
          </w:p>
        </w:tc>
        <w:tc>
          <w:tcPr>
            <w:tcW w:w="565" w:type="pct"/>
            <w:vAlign w:val="center"/>
          </w:tcPr>
          <w:p w14:paraId="197EF6CE"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Diez (10) PDT y veinte (20) PPVI incorporan la gestión integrada del paisaje, que respaldan una buena gestión del paisaje, la provisión de servicios ecosistémicos sostenibles y marcos de gobernanza fortalecidos de las comunidades nativas.</w:t>
            </w:r>
          </w:p>
          <w:p w14:paraId="36CF0DD6" w14:textId="77777777" w:rsidR="009B1DCD" w:rsidRPr="00DE692F" w:rsidRDefault="009B1DCD" w:rsidP="009B1DCD">
            <w:pPr>
              <w:jc w:val="left"/>
              <w:rPr>
                <w:rFonts w:asciiTheme="minorHAnsi" w:hAnsiTheme="minorHAnsi" w:cstheme="minorHAnsi"/>
                <w:color w:val="000000"/>
                <w:sz w:val="16"/>
                <w:szCs w:val="16"/>
              </w:rPr>
            </w:pPr>
          </w:p>
          <w:p w14:paraId="40528BC8"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Esta meta contribuye a los indicadores de nivel objetivo 2 y 3, que abarcan al menos 1 millón de hectáreas en restauración y PBPM.</w:t>
            </w:r>
          </w:p>
          <w:p w14:paraId="62697B04" w14:textId="4A0CD59C" w:rsidR="009B1DCD" w:rsidRPr="00DE692F" w:rsidRDefault="009B1DCD" w:rsidP="009B1DCD">
            <w:pPr>
              <w:spacing w:after="0"/>
              <w:jc w:val="left"/>
              <w:rPr>
                <w:rFonts w:asciiTheme="minorHAnsi" w:eastAsiaTheme="minorEastAsia" w:hAnsiTheme="minorHAnsi" w:cstheme="minorHAnsi"/>
                <w:sz w:val="16"/>
                <w:szCs w:val="16"/>
              </w:rPr>
            </w:pPr>
          </w:p>
        </w:tc>
        <w:tc>
          <w:tcPr>
            <w:tcW w:w="484" w:type="pct"/>
            <w:vAlign w:val="center"/>
          </w:tcPr>
          <w:p w14:paraId="475C8387" w14:textId="3E471DEE" w:rsidR="009B1DCD" w:rsidRPr="00DE692F" w:rsidRDefault="000039F8" w:rsidP="00D61877">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6E683B18" w14:textId="075C9FD4" w:rsidR="001143BD" w:rsidRPr="00E44CD7" w:rsidRDefault="001143BD" w:rsidP="008962AA">
            <w:pPr>
              <w:pStyle w:val="Default"/>
              <w:rPr>
                <w:rFonts w:asciiTheme="minorHAnsi" w:hAnsiTheme="minorHAnsi" w:cstheme="minorHAnsi"/>
                <w:sz w:val="16"/>
                <w:szCs w:val="16"/>
              </w:rPr>
            </w:pPr>
            <w:r w:rsidRPr="00E44CD7">
              <w:rPr>
                <w:rFonts w:asciiTheme="minorHAnsi" w:hAnsiTheme="minorHAnsi" w:cstheme="minorHAnsi"/>
                <w:sz w:val="16"/>
                <w:szCs w:val="16"/>
              </w:rPr>
              <w:t>En Progreso</w:t>
            </w:r>
          </w:p>
          <w:p w14:paraId="5E9A9DCA" w14:textId="0621F740" w:rsidR="001143BD" w:rsidRPr="00E44CD7" w:rsidRDefault="001143BD" w:rsidP="008962AA">
            <w:pPr>
              <w:pStyle w:val="Default"/>
              <w:rPr>
                <w:rFonts w:asciiTheme="minorHAnsi" w:hAnsiTheme="minorHAnsi" w:cstheme="minorHAnsi"/>
                <w:sz w:val="16"/>
                <w:szCs w:val="16"/>
              </w:rPr>
            </w:pPr>
            <w:r w:rsidRPr="00E44CD7">
              <w:rPr>
                <w:rFonts w:asciiTheme="minorHAnsi" w:hAnsiTheme="minorHAnsi" w:cstheme="minorHAnsi"/>
                <w:sz w:val="16"/>
                <w:szCs w:val="16"/>
              </w:rPr>
              <w:t>0 PDT y 0 PPVI que incorporan la GIP</w:t>
            </w:r>
          </w:p>
          <w:p w14:paraId="6CE1F226" w14:textId="77777777" w:rsidR="001143BD" w:rsidRPr="00E44CD7" w:rsidRDefault="001143BD" w:rsidP="008962AA">
            <w:pPr>
              <w:pStyle w:val="Default"/>
              <w:rPr>
                <w:rFonts w:asciiTheme="minorHAnsi" w:hAnsiTheme="minorHAnsi" w:cstheme="minorHAnsi"/>
                <w:sz w:val="16"/>
                <w:szCs w:val="16"/>
              </w:rPr>
            </w:pPr>
          </w:p>
          <w:p w14:paraId="0DBD1F72" w14:textId="6DDE7C3E" w:rsidR="001143BD" w:rsidRPr="00C20C9F" w:rsidRDefault="001143BD" w:rsidP="008962AA">
            <w:pPr>
              <w:pStyle w:val="Default"/>
              <w:rPr>
                <w:rFonts w:asciiTheme="minorHAnsi" w:hAnsiTheme="minorHAnsi" w:cstheme="minorHAnsi"/>
                <w:sz w:val="16"/>
                <w:szCs w:val="16"/>
              </w:rPr>
            </w:pPr>
            <w:r w:rsidRPr="00C20C9F">
              <w:rPr>
                <w:rFonts w:asciiTheme="minorHAnsi" w:hAnsiTheme="minorHAnsi" w:cstheme="minorHAnsi"/>
                <w:sz w:val="16"/>
                <w:szCs w:val="16"/>
              </w:rPr>
              <w:t>Respecto a los PDT:</w:t>
            </w:r>
          </w:p>
          <w:p w14:paraId="0C8C73F1" w14:textId="1A267D8D" w:rsidR="00311AF1" w:rsidRPr="00E44CD7" w:rsidRDefault="001143BD" w:rsidP="008962AA">
            <w:pPr>
              <w:pStyle w:val="Default"/>
              <w:rPr>
                <w:rFonts w:asciiTheme="minorHAnsi" w:hAnsiTheme="minorHAnsi" w:cstheme="minorHAnsi"/>
                <w:sz w:val="16"/>
                <w:szCs w:val="16"/>
              </w:rPr>
            </w:pPr>
            <w:r w:rsidRPr="00C20C9F">
              <w:rPr>
                <w:rFonts w:asciiTheme="minorHAnsi" w:hAnsiTheme="minorHAnsi" w:cstheme="minorHAnsi"/>
                <w:sz w:val="16"/>
                <w:szCs w:val="16"/>
              </w:rPr>
              <w:t>Se cuenta</w:t>
            </w:r>
            <w:r w:rsidR="00133955" w:rsidRPr="00C20C9F">
              <w:rPr>
                <w:rFonts w:asciiTheme="minorHAnsi" w:hAnsiTheme="minorHAnsi" w:cstheme="minorHAnsi"/>
                <w:sz w:val="16"/>
                <w:szCs w:val="16"/>
              </w:rPr>
              <w:t xml:space="preserve"> con 05 </w:t>
            </w:r>
            <w:r w:rsidR="00311AF1" w:rsidRPr="00C20C9F">
              <w:rPr>
                <w:rFonts w:asciiTheme="minorHAnsi" w:hAnsiTheme="minorHAnsi" w:cstheme="minorHAnsi"/>
                <w:sz w:val="16"/>
                <w:szCs w:val="16"/>
              </w:rPr>
              <w:t>planes de desarrollo territorial en proceso (03 nivel provincial y 02 a nivel distrital)</w:t>
            </w:r>
          </w:p>
          <w:p w14:paraId="34A3C895" w14:textId="77777777" w:rsidR="00FC72C8" w:rsidRPr="00E44CD7" w:rsidRDefault="00FC72C8" w:rsidP="008962AA">
            <w:pPr>
              <w:pStyle w:val="Default"/>
              <w:rPr>
                <w:rFonts w:asciiTheme="minorHAnsi" w:hAnsiTheme="minorHAnsi" w:cstheme="minorHAnsi"/>
                <w:sz w:val="16"/>
                <w:szCs w:val="16"/>
              </w:rPr>
            </w:pPr>
          </w:p>
          <w:p w14:paraId="1A57630A" w14:textId="0A41034E" w:rsidR="00311AF1" w:rsidRPr="00E44CD7" w:rsidRDefault="008962AA" w:rsidP="00311AF1">
            <w:pPr>
              <w:spacing w:after="0"/>
              <w:jc w:val="left"/>
              <w:rPr>
                <w:rFonts w:asciiTheme="minorHAnsi" w:eastAsiaTheme="minorEastAsia" w:hAnsiTheme="minorHAnsi" w:cstheme="minorHAnsi"/>
                <w:sz w:val="16"/>
                <w:szCs w:val="16"/>
              </w:rPr>
            </w:pPr>
            <w:r w:rsidRPr="00E44CD7">
              <w:rPr>
                <w:rFonts w:asciiTheme="minorHAnsi" w:hAnsiTheme="minorHAnsi" w:cstheme="minorHAnsi"/>
                <w:sz w:val="16"/>
                <w:szCs w:val="16"/>
              </w:rPr>
              <w:t xml:space="preserve"> </w:t>
            </w:r>
            <w:r w:rsidR="00133955" w:rsidRPr="00E44CD7">
              <w:rPr>
                <w:rFonts w:asciiTheme="minorHAnsi" w:hAnsiTheme="minorHAnsi" w:cstheme="minorHAnsi"/>
                <w:sz w:val="16"/>
                <w:szCs w:val="16"/>
              </w:rPr>
              <w:t xml:space="preserve">Durante el 2025, </w:t>
            </w:r>
            <w:r w:rsidR="00311AF1" w:rsidRPr="00E44CD7">
              <w:rPr>
                <w:rFonts w:asciiTheme="minorHAnsi" w:eastAsiaTheme="minorEastAsia" w:hAnsiTheme="minorHAnsi" w:cstheme="minorHAnsi"/>
                <w:sz w:val="16"/>
                <w:szCs w:val="16"/>
              </w:rPr>
              <w:t>se han realizado avances a dos niveles para la formulación de los PDLC:</w:t>
            </w:r>
          </w:p>
          <w:p w14:paraId="257F308E" w14:textId="77777777" w:rsidR="00311AF1" w:rsidRPr="00E44CD7" w:rsidRDefault="00311AF1"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A nivel del SINAPLAN, se ha logrado una alianza con el CEPLAN para la formulación y asistencia técnica a los procesos de formulación de PDLC provinciales y distritales, por lo que este año con la conformidad del CEPLAN se inició la contratación de consultores para la asistencia técnica a los gobiernos locales.</w:t>
            </w:r>
          </w:p>
          <w:p w14:paraId="1B767AB9" w14:textId="77777777" w:rsidR="00311AF1" w:rsidRPr="00E44CD7" w:rsidRDefault="00311AF1" w:rsidP="00311AF1">
            <w:pPr>
              <w:spacing w:after="0"/>
              <w:jc w:val="left"/>
              <w:rPr>
                <w:rFonts w:asciiTheme="minorHAnsi" w:eastAsiaTheme="minorEastAsia" w:hAnsiTheme="minorHAnsi" w:cstheme="minorHAnsi"/>
                <w:sz w:val="16"/>
                <w:szCs w:val="16"/>
              </w:rPr>
            </w:pPr>
          </w:p>
          <w:p w14:paraId="2B4EDB75" w14:textId="77777777" w:rsidR="00311AF1" w:rsidRPr="00E44CD7" w:rsidRDefault="00311AF1"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A nivel local</w:t>
            </w:r>
          </w:p>
          <w:p w14:paraId="04BEB64F" w14:textId="4BCAB3C3" w:rsidR="00FC72C8" w:rsidRPr="00E44CD7" w:rsidRDefault="00FC72C8"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Se inició la asistencia técnica para el desarrollo de la fase preparatoria (Conformación del Comité de Coordinación Local en las Municipalidades, Conformación del Grupo de Trabajo, elaboración del Plan de Trabajo) para el proceso de formulación de los PDLC:</w:t>
            </w:r>
          </w:p>
          <w:p w14:paraId="6BAB6DED" w14:textId="77777777" w:rsidR="00FC72C8" w:rsidRPr="00E44CD7" w:rsidRDefault="00FC72C8" w:rsidP="00311AF1">
            <w:pPr>
              <w:spacing w:after="0"/>
              <w:jc w:val="left"/>
              <w:rPr>
                <w:rFonts w:asciiTheme="minorHAnsi" w:eastAsiaTheme="minorEastAsia" w:hAnsiTheme="minorHAnsi" w:cstheme="minorHAnsi"/>
                <w:sz w:val="16"/>
                <w:szCs w:val="16"/>
              </w:rPr>
            </w:pPr>
          </w:p>
          <w:p w14:paraId="0B45DF97" w14:textId="47F308A4" w:rsidR="00311AF1" w:rsidRPr="00E44CD7" w:rsidRDefault="00311AF1" w:rsidP="00FC72C8">
            <w:pPr>
              <w:pStyle w:val="Prrafodelista"/>
              <w:numPr>
                <w:ilvl w:val="0"/>
                <w:numId w:val="32"/>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lastRenderedPageBreak/>
              <w:t>Paisaje Tabaconas Chinchipe, PDLC de la Provincia de San Ignacio y sus distritos de Tabaconas</w:t>
            </w:r>
            <w:r w:rsidR="005D6904" w:rsidRPr="00E44CD7">
              <w:rPr>
                <w:rFonts w:asciiTheme="minorHAnsi" w:eastAsiaTheme="minorEastAsia" w:hAnsiTheme="minorHAnsi" w:cstheme="minorHAnsi"/>
                <w:sz w:val="16"/>
                <w:szCs w:val="16"/>
              </w:rPr>
              <w:t xml:space="preserve"> y</w:t>
            </w:r>
            <w:r w:rsidRPr="00E44CD7">
              <w:rPr>
                <w:rFonts w:asciiTheme="minorHAnsi" w:eastAsiaTheme="minorEastAsia" w:hAnsiTheme="minorHAnsi" w:cstheme="minorHAnsi"/>
                <w:sz w:val="16"/>
                <w:szCs w:val="16"/>
              </w:rPr>
              <w:t xml:space="preserve"> La Coipa</w:t>
            </w:r>
            <w:r w:rsidR="005D6904" w:rsidRPr="00E44CD7">
              <w:rPr>
                <w:rFonts w:asciiTheme="minorHAnsi" w:eastAsiaTheme="minorEastAsia" w:hAnsiTheme="minorHAnsi" w:cstheme="minorHAnsi"/>
                <w:sz w:val="16"/>
                <w:szCs w:val="16"/>
              </w:rPr>
              <w:t>.</w:t>
            </w:r>
          </w:p>
          <w:p w14:paraId="0464FAE2" w14:textId="5C5B30F9" w:rsidR="00311AF1" w:rsidRPr="00E44CD7" w:rsidRDefault="00311AF1" w:rsidP="00311AF1">
            <w:pPr>
              <w:pStyle w:val="Prrafodelista"/>
              <w:numPr>
                <w:ilvl w:val="0"/>
                <w:numId w:val="32"/>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Paisaje Colán Utcubamba Chiriaco, PDLC de la Provincia de Rodríguez de Mendoza</w:t>
            </w:r>
            <w:r w:rsidR="005D6904" w:rsidRPr="00E44CD7">
              <w:rPr>
                <w:rFonts w:asciiTheme="minorHAnsi" w:eastAsiaTheme="minorEastAsia" w:hAnsiTheme="minorHAnsi" w:cstheme="minorHAnsi"/>
                <w:sz w:val="16"/>
                <w:szCs w:val="16"/>
              </w:rPr>
              <w:t>.</w:t>
            </w:r>
          </w:p>
          <w:p w14:paraId="30F97244" w14:textId="77777777" w:rsidR="00311AF1" w:rsidRPr="00E44CD7" w:rsidRDefault="00311AF1" w:rsidP="00311AF1">
            <w:pPr>
              <w:spacing w:after="0"/>
              <w:jc w:val="left"/>
              <w:rPr>
                <w:rFonts w:asciiTheme="minorHAnsi" w:eastAsiaTheme="minorEastAsia" w:hAnsiTheme="minorHAnsi" w:cstheme="minorHAnsi"/>
                <w:sz w:val="16"/>
                <w:szCs w:val="16"/>
              </w:rPr>
            </w:pPr>
          </w:p>
          <w:p w14:paraId="6CA15D16" w14:textId="259E2F77" w:rsidR="00311AF1" w:rsidRPr="00E44CD7" w:rsidRDefault="00311AF1"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Se tiene programad</w:t>
            </w:r>
            <w:r w:rsidR="00FC72C8" w:rsidRPr="00E44CD7">
              <w:rPr>
                <w:rFonts w:asciiTheme="minorHAnsi" w:eastAsiaTheme="minorEastAsia" w:hAnsiTheme="minorHAnsi" w:cstheme="minorHAnsi"/>
                <w:sz w:val="16"/>
                <w:szCs w:val="16"/>
              </w:rPr>
              <w:t>a</w:t>
            </w:r>
            <w:r w:rsidRPr="00E44CD7">
              <w:rPr>
                <w:rFonts w:asciiTheme="minorHAnsi" w:eastAsiaTheme="minorEastAsia" w:hAnsiTheme="minorHAnsi" w:cstheme="minorHAnsi"/>
                <w:sz w:val="16"/>
                <w:szCs w:val="16"/>
              </w:rPr>
              <w:t xml:space="preserve"> la asistencia técnica para el desarrollo del PDLC de la Provincia de Bongará en el primer trimestre del 2026.</w:t>
            </w:r>
          </w:p>
          <w:p w14:paraId="057D12A7" w14:textId="77777777" w:rsidR="00311AF1" w:rsidRPr="00E44CD7" w:rsidRDefault="00311AF1" w:rsidP="00311AF1">
            <w:pPr>
              <w:spacing w:after="0"/>
              <w:jc w:val="left"/>
              <w:rPr>
                <w:rFonts w:asciiTheme="minorHAnsi" w:eastAsiaTheme="minorEastAsia" w:hAnsiTheme="minorHAnsi" w:cstheme="minorHAnsi"/>
                <w:sz w:val="16"/>
                <w:szCs w:val="16"/>
              </w:rPr>
            </w:pPr>
          </w:p>
          <w:p w14:paraId="71329F84" w14:textId="7B6A04D4" w:rsidR="00133955" w:rsidRPr="00E44CD7" w:rsidRDefault="00133955"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Respecto los PVPI:</w:t>
            </w:r>
          </w:p>
          <w:p w14:paraId="22A6EAB9" w14:textId="13C37F4F" w:rsidR="00311AF1" w:rsidRPr="00E44CD7" w:rsidRDefault="00133955"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Al cierre del 2025, se cuenta con 09 </w:t>
            </w:r>
            <w:r w:rsidR="00311AF1" w:rsidRPr="00E44CD7">
              <w:rPr>
                <w:rFonts w:asciiTheme="minorHAnsi" w:eastAsiaTheme="minorEastAsia" w:hAnsiTheme="minorHAnsi" w:cstheme="minorHAnsi"/>
                <w:sz w:val="16"/>
                <w:szCs w:val="16"/>
              </w:rPr>
              <w:t>comunidades nativas con compromiso</w:t>
            </w:r>
            <w:r w:rsidR="00725DFE" w:rsidRPr="00E44CD7">
              <w:rPr>
                <w:rFonts w:asciiTheme="minorHAnsi" w:eastAsiaTheme="minorEastAsia" w:hAnsiTheme="minorHAnsi" w:cstheme="minorHAnsi"/>
                <w:sz w:val="16"/>
                <w:szCs w:val="16"/>
              </w:rPr>
              <w:t xml:space="preserve"> para elaborar </w:t>
            </w:r>
            <w:r w:rsidRPr="00E44CD7">
              <w:rPr>
                <w:rFonts w:asciiTheme="minorHAnsi" w:eastAsiaTheme="minorEastAsia" w:hAnsiTheme="minorHAnsi" w:cstheme="minorHAnsi"/>
                <w:sz w:val="16"/>
                <w:szCs w:val="16"/>
              </w:rPr>
              <w:t xml:space="preserve">sus </w:t>
            </w:r>
            <w:r w:rsidR="00725DFE" w:rsidRPr="00E44CD7">
              <w:rPr>
                <w:rFonts w:asciiTheme="minorHAnsi" w:eastAsiaTheme="minorEastAsia" w:hAnsiTheme="minorHAnsi" w:cstheme="minorHAnsi"/>
                <w:sz w:val="16"/>
                <w:szCs w:val="16"/>
              </w:rPr>
              <w:t>planes de vida</w:t>
            </w:r>
            <w:r w:rsidRPr="00E44CD7">
              <w:rPr>
                <w:rFonts w:asciiTheme="minorHAnsi" w:eastAsiaTheme="minorEastAsia" w:hAnsiTheme="minorHAnsi" w:cstheme="minorHAnsi"/>
                <w:sz w:val="16"/>
                <w:szCs w:val="16"/>
              </w:rPr>
              <w:t>. Este año s</w:t>
            </w:r>
            <w:r w:rsidR="00311AF1" w:rsidRPr="00E44CD7">
              <w:rPr>
                <w:rFonts w:asciiTheme="minorHAnsi" w:eastAsiaTheme="minorEastAsia" w:hAnsiTheme="minorHAnsi" w:cstheme="minorHAnsi"/>
                <w:sz w:val="16"/>
                <w:szCs w:val="16"/>
              </w:rPr>
              <w:t>e culminó con el compromiso de dos organizaciones indígenas y de sus comunidades priorizadas para la recepción de los gran para la elaboración e implementación de planes de vida que incluyen GIP.</w:t>
            </w:r>
          </w:p>
          <w:p w14:paraId="78877892" w14:textId="77777777" w:rsidR="00311AF1" w:rsidRPr="00E44CD7" w:rsidRDefault="00311AF1" w:rsidP="00311AF1">
            <w:pPr>
              <w:spacing w:after="0"/>
              <w:jc w:val="left"/>
              <w:rPr>
                <w:rFonts w:asciiTheme="minorHAnsi" w:eastAsiaTheme="minorEastAsia" w:hAnsiTheme="minorHAnsi" w:cstheme="minorHAnsi"/>
                <w:sz w:val="16"/>
                <w:szCs w:val="16"/>
              </w:rPr>
            </w:pPr>
          </w:p>
          <w:p w14:paraId="6F72F83D" w14:textId="5B6B1CF5" w:rsidR="00311AF1" w:rsidRPr="00E44CD7" w:rsidRDefault="00311AF1" w:rsidP="00C37211">
            <w:pPr>
              <w:pStyle w:val="Prrafodelista"/>
              <w:numPr>
                <w:ilvl w:val="0"/>
                <w:numId w:val="33"/>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Paisaje Bajo Cordilleras Bajo Huallaga</w:t>
            </w:r>
            <w:r w:rsidR="00FC72C8"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ORDEPIAA, se cuenta con el compromiso de la organización indígena para la implementación de las donaciones y con las actas de compromiso entre la ORDEPIAA y cuatro comunidades priorizadas para la elaboración e implementación de los planes de vida: Comunidad</w:t>
            </w:r>
            <w:r w:rsidR="00FC72C8" w:rsidRPr="00E44CD7">
              <w:rPr>
                <w:rFonts w:asciiTheme="minorHAnsi" w:eastAsiaTheme="minorEastAsia" w:hAnsiTheme="minorHAnsi" w:cstheme="minorHAnsi"/>
                <w:sz w:val="16"/>
                <w:szCs w:val="16"/>
              </w:rPr>
              <w:t>es</w:t>
            </w:r>
            <w:r w:rsidRPr="00E44CD7">
              <w:rPr>
                <w:rFonts w:asciiTheme="minorHAnsi" w:eastAsiaTheme="minorEastAsia" w:hAnsiTheme="minorHAnsi" w:cstheme="minorHAnsi"/>
                <w:sz w:val="16"/>
                <w:szCs w:val="16"/>
              </w:rPr>
              <w:t xml:space="preserve"> nativa</w:t>
            </w:r>
            <w:r w:rsidR="00FC72C8" w:rsidRPr="00E44CD7">
              <w:rPr>
                <w:rFonts w:asciiTheme="minorHAnsi" w:eastAsiaTheme="minorEastAsia" w:hAnsiTheme="minorHAnsi" w:cstheme="minorHAnsi"/>
                <w:sz w:val="16"/>
                <w:szCs w:val="16"/>
              </w:rPr>
              <w:t>s de</w:t>
            </w:r>
            <w:r w:rsidRPr="00E44CD7">
              <w:rPr>
                <w:rFonts w:asciiTheme="minorHAnsi" w:eastAsiaTheme="minorEastAsia" w:hAnsiTheme="minorHAnsi" w:cstheme="minorHAnsi"/>
                <w:sz w:val="16"/>
                <w:szCs w:val="16"/>
              </w:rPr>
              <w:t xml:space="preserve"> Nuevo Barranquita, Nuevo Uchiza,</w:t>
            </w:r>
            <w:r w:rsidR="00FC72C8"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San Lorenzo de Armanayacu</w:t>
            </w:r>
            <w:r w:rsidR="00133955" w:rsidRPr="00E44CD7">
              <w:rPr>
                <w:rFonts w:asciiTheme="minorHAnsi" w:eastAsiaTheme="minorEastAsia" w:hAnsiTheme="minorHAnsi" w:cstheme="minorHAnsi"/>
                <w:sz w:val="16"/>
                <w:szCs w:val="16"/>
              </w:rPr>
              <w:t xml:space="preserve"> y</w:t>
            </w:r>
            <w:r w:rsidR="00FC72C8"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San Antonio de Saniyacu.</w:t>
            </w:r>
          </w:p>
          <w:p w14:paraId="28AA3579" w14:textId="77777777" w:rsidR="00311AF1" w:rsidRPr="00E44CD7" w:rsidRDefault="00311AF1" w:rsidP="00FC72C8">
            <w:pPr>
              <w:pStyle w:val="Prrafodelista"/>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Asimismo, se ha convocado a un servicio de consultoría para el fortalecimiento de capacidades de la ORDEPIAA a iniciarse el próximo año.</w:t>
            </w:r>
          </w:p>
          <w:p w14:paraId="4C7C7029" w14:textId="0032634F" w:rsidR="00FC72C8" w:rsidRPr="00E44CD7" w:rsidRDefault="00FC72C8" w:rsidP="00FC72C8">
            <w:pPr>
              <w:pStyle w:val="Prrafodelista"/>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Del mismo modo,</w:t>
            </w:r>
            <w:r w:rsidR="00426B7C" w:rsidRPr="00E44CD7">
              <w:rPr>
                <w:rFonts w:asciiTheme="minorHAnsi" w:eastAsiaTheme="minorEastAsia" w:hAnsiTheme="minorHAnsi" w:cstheme="minorHAnsi"/>
                <w:sz w:val="16"/>
                <w:szCs w:val="16"/>
              </w:rPr>
              <w:t xml:space="preserve"> se </w:t>
            </w:r>
            <w:r w:rsidR="00C20C9F">
              <w:rPr>
                <w:rFonts w:asciiTheme="minorHAnsi" w:eastAsiaTheme="minorEastAsia" w:hAnsiTheme="minorHAnsi" w:cstheme="minorHAnsi"/>
                <w:sz w:val="16"/>
                <w:szCs w:val="16"/>
              </w:rPr>
              <w:t xml:space="preserve">realizaron las primeras reuniones de coordinación con </w:t>
            </w:r>
            <w:r w:rsidR="00426B7C" w:rsidRPr="00E44CD7">
              <w:rPr>
                <w:rFonts w:asciiTheme="minorHAnsi" w:eastAsiaTheme="minorEastAsia" w:hAnsiTheme="minorHAnsi" w:cstheme="minorHAnsi"/>
                <w:sz w:val="16"/>
                <w:szCs w:val="16"/>
              </w:rPr>
              <w:t>CORPI SL</w:t>
            </w:r>
            <w:r w:rsidR="00C20C9F">
              <w:rPr>
                <w:rFonts w:asciiTheme="minorHAnsi" w:eastAsiaTheme="minorEastAsia" w:hAnsiTheme="minorHAnsi" w:cstheme="minorHAnsi"/>
                <w:sz w:val="16"/>
                <w:szCs w:val="16"/>
              </w:rPr>
              <w:t xml:space="preserve"> y CODEPISAM</w:t>
            </w:r>
            <w:r w:rsidR="00426B7C" w:rsidRPr="00E44CD7">
              <w:rPr>
                <w:rFonts w:asciiTheme="minorHAnsi" w:eastAsiaTheme="minorEastAsia" w:hAnsiTheme="minorHAnsi" w:cstheme="minorHAnsi"/>
                <w:sz w:val="16"/>
                <w:szCs w:val="16"/>
              </w:rPr>
              <w:t>, para trabajar con sus comunidades durante el 2026.</w:t>
            </w:r>
          </w:p>
          <w:p w14:paraId="3FC26CFC" w14:textId="77777777" w:rsidR="00FC72C8" w:rsidRPr="00E44CD7" w:rsidRDefault="00FC72C8" w:rsidP="00FC72C8">
            <w:pPr>
              <w:pStyle w:val="Prrafodelista"/>
              <w:spacing w:after="0"/>
              <w:rPr>
                <w:rFonts w:asciiTheme="minorHAnsi" w:eastAsiaTheme="minorEastAsia" w:hAnsiTheme="minorHAnsi" w:cstheme="minorHAnsi"/>
                <w:sz w:val="16"/>
                <w:szCs w:val="16"/>
              </w:rPr>
            </w:pPr>
          </w:p>
          <w:p w14:paraId="2800129A" w14:textId="18BF8C16" w:rsidR="00311AF1" w:rsidRPr="00E44CD7" w:rsidRDefault="00311AF1" w:rsidP="005260A9">
            <w:pPr>
              <w:pStyle w:val="Prrafodelista"/>
              <w:numPr>
                <w:ilvl w:val="0"/>
                <w:numId w:val="33"/>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Paisaje Colán Utcubamba Chiriaco</w:t>
            </w:r>
            <w:r w:rsidR="00FC72C8"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ECACHAYUNAIN, se cuenta con el compromiso de la organización indígena encargada de la administración de la Reserva Comunal Chayu Nain para la implementación de las donaciones y con las actas de compromiso entre el ECA CHAYUNAIN y cinco comunidades priorizadas para la elaboración e implementación de los planes de vida: Comunidad</w:t>
            </w:r>
            <w:r w:rsidR="00FC72C8" w:rsidRPr="00E44CD7">
              <w:rPr>
                <w:rFonts w:asciiTheme="minorHAnsi" w:eastAsiaTheme="minorEastAsia" w:hAnsiTheme="minorHAnsi" w:cstheme="minorHAnsi"/>
                <w:sz w:val="16"/>
                <w:szCs w:val="16"/>
              </w:rPr>
              <w:t>es</w:t>
            </w:r>
            <w:r w:rsidRPr="00E44CD7">
              <w:rPr>
                <w:rFonts w:asciiTheme="minorHAnsi" w:eastAsiaTheme="minorEastAsia" w:hAnsiTheme="minorHAnsi" w:cstheme="minorHAnsi"/>
                <w:sz w:val="16"/>
                <w:szCs w:val="16"/>
              </w:rPr>
              <w:t xml:space="preserve"> nativa</w:t>
            </w:r>
            <w:r w:rsidR="00FC72C8" w:rsidRPr="00E44CD7">
              <w:rPr>
                <w:rFonts w:asciiTheme="minorHAnsi" w:eastAsiaTheme="minorEastAsia" w:hAnsiTheme="minorHAnsi" w:cstheme="minorHAnsi"/>
                <w:sz w:val="16"/>
                <w:szCs w:val="16"/>
              </w:rPr>
              <w:t>s:</w:t>
            </w:r>
            <w:r w:rsidRPr="00E44CD7">
              <w:rPr>
                <w:rFonts w:asciiTheme="minorHAnsi" w:eastAsiaTheme="minorEastAsia" w:hAnsiTheme="minorHAnsi" w:cstheme="minorHAnsi"/>
                <w:sz w:val="16"/>
                <w:szCs w:val="16"/>
              </w:rPr>
              <w:t xml:space="preserve"> Alto Wawas</w:t>
            </w:r>
            <w:r w:rsidR="00133955"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Chayu Atumsamu</w:t>
            </w:r>
            <w:r w:rsidR="00133955"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Nayumpim</w:t>
            </w:r>
            <w:r w:rsidR="00133955"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Shusug</w:t>
            </w:r>
            <w:r w:rsidR="00FC72C8" w:rsidRPr="00E44CD7">
              <w:rPr>
                <w:rFonts w:asciiTheme="minorHAnsi" w:eastAsiaTheme="minorEastAsia" w:hAnsiTheme="minorHAnsi" w:cstheme="minorHAnsi"/>
                <w:sz w:val="16"/>
                <w:szCs w:val="16"/>
              </w:rPr>
              <w:t xml:space="preserve"> y </w:t>
            </w:r>
            <w:r w:rsidRPr="00E44CD7">
              <w:rPr>
                <w:rFonts w:asciiTheme="minorHAnsi" w:eastAsiaTheme="minorEastAsia" w:hAnsiTheme="minorHAnsi" w:cstheme="minorHAnsi"/>
                <w:sz w:val="16"/>
                <w:szCs w:val="16"/>
              </w:rPr>
              <w:t>Uyuentsa</w:t>
            </w:r>
          </w:p>
          <w:p w14:paraId="2D7C65B0" w14:textId="77777777" w:rsidR="005A3ED9" w:rsidRPr="00E44CD7" w:rsidRDefault="005A3ED9" w:rsidP="008962AA">
            <w:pPr>
              <w:spacing w:after="0"/>
              <w:jc w:val="left"/>
              <w:rPr>
                <w:rFonts w:asciiTheme="minorHAnsi" w:eastAsiaTheme="minorEastAsia" w:hAnsiTheme="minorHAnsi" w:cstheme="minorHAnsi"/>
                <w:sz w:val="16"/>
                <w:szCs w:val="16"/>
              </w:rPr>
            </w:pPr>
          </w:p>
          <w:p w14:paraId="13D1B16E" w14:textId="7340C1EA" w:rsidR="00FC72C8" w:rsidRPr="00E44CD7" w:rsidRDefault="005A3ED9" w:rsidP="008962AA">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Asimismo, para promover la gobernanza de los paisajes en alianza con OSINFOR se co-construyó una temática nueva de la mochila forestal: Conservación y aprovechamiento sostenible de nuestros bosques dirigida a comunidades indígena y población rural, entregándose a las Direcciones regionales de Educación de San Martín, Loreto, Madre de Dios y Ucayali. La validación de la herramienta se realizó en dos colegios bilingües awajun del ámbito del paisaje Alto Mayo.</w:t>
            </w:r>
          </w:p>
        </w:tc>
      </w:tr>
      <w:tr w:rsidR="009B1DCD" w:rsidRPr="00DE692F" w14:paraId="5F98AE85" w14:textId="77777777" w:rsidTr="00D61877">
        <w:trPr>
          <w:trHeight w:val="23"/>
        </w:trPr>
        <w:tc>
          <w:tcPr>
            <w:tcW w:w="746" w:type="pct"/>
            <w:vMerge/>
            <w:vAlign w:val="center"/>
          </w:tcPr>
          <w:p w14:paraId="1B246C12" w14:textId="77777777" w:rsidR="009B1DCD" w:rsidRPr="00DE692F" w:rsidRDefault="009B1DCD" w:rsidP="009B1DCD">
            <w:pPr>
              <w:spacing w:after="0"/>
              <w:rPr>
                <w:rFonts w:asciiTheme="majorHAnsi" w:hAnsiTheme="majorHAnsi" w:cstheme="majorHAnsi"/>
                <w:sz w:val="16"/>
                <w:szCs w:val="16"/>
              </w:rPr>
            </w:pPr>
          </w:p>
        </w:tc>
        <w:tc>
          <w:tcPr>
            <w:tcW w:w="555" w:type="pct"/>
            <w:vAlign w:val="center"/>
          </w:tcPr>
          <w:p w14:paraId="4FDA370E"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 xml:space="preserve">Indicador 6: </w:t>
            </w:r>
          </w:p>
          <w:p w14:paraId="57600441" w14:textId="174E2CEF"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Número de gobiernos regionales y provinciales han programado y asignado presupuestos para promover la GIP, con el apoyo de directrices para incluir objetivos de sostenibilidad.</w:t>
            </w:r>
          </w:p>
        </w:tc>
        <w:tc>
          <w:tcPr>
            <w:tcW w:w="486" w:type="pct"/>
            <w:vAlign w:val="center"/>
          </w:tcPr>
          <w:p w14:paraId="7FDE7F5C"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0</w:t>
            </w:r>
          </w:p>
          <w:p w14:paraId="28A3A897" w14:textId="15C8D7F2"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La capacidad de los gobiernos regionales y locales fluctúa entre baja y moderada, y su planificación y ejecución presupuestaria excluye los sistemas de GIP, con excepción de San Martín y Amazonas, donde avanza la adopción de GIP en la planificación de US y ERDRBE.</w:t>
            </w:r>
          </w:p>
        </w:tc>
        <w:tc>
          <w:tcPr>
            <w:tcW w:w="580" w:type="pct"/>
            <w:vAlign w:val="center"/>
          </w:tcPr>
          <w:p w14:paraId="090345D2" w14:textId="696B9D3B"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Al menos 02 gobiernos regionales y provinciales han programado y asignado presupuestos a la GIP; con el apoyo de directrices para incluir objetivos de sostenibilidad.</w:t>
            </w:r>
          </w:p>
          <w:p w14:paraId="5D9A3605" w14:textId="77777777" w:rsidR="009B1DCD" w:rsidRPr="00DE692F" w:rsidRDefault="009B1DCD" w:rsidP="009B1DCD">
            <w:pPr>
              <w:jc w:val="left"/>
              <w:rPr>
                <w:rFonts w:asciiTheme="minorHAnsi" w:hAnsiTheme="minorHAnsi" w:cstheme="minorHAnsi"/>
                <w:sz w:val="16"/>
                <w:szCs w:val="16"/>
              </w:rPr>
            </w:pPr>
          </w:p>
          <w:p w14:paraId="00174885"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t xml:space="preserve">Esta meta contribuye a los indicadores de nivel objetivo 2 y 3, cubriendo al menos 200,000 hectáreas en restauración y </w:t>
            </w:r>
            <w:r w:rsidRPr="00DE692F">
              <w:rPr>
                <w:rFonts w:asciiTheme="minorHAnsi" w:hAnsiTheme="minorHAnsi" w:cstheme="minorHAnsi"/>
                <w:color w:val="000000"/>
                <w:sz w:val="16"/>
                <w:szCs w:val="16"/>
              </w:rPr>
              <w:t>PBPM</w:t>
            </w:r>
            <w:r w:rsidRPr="00DE692F">
              <w:rPr>
                <w:rFonts w:asciiTheme="minorHAnsi" w:hAnsiTheme="minorHAnsi" w:cstheme="minorHAnsi"/>
                <w:sz w:val="16"/>
                <w:szCs w:val="16"/>
              </w:rPr>
              <w:t>.</w:t>
            </w:r>
          </w:p>
          <w:p w14:paraId="4E287C08" w14:textId="65091626" w:rsidR="009B1DCD" w:rsidRPr="00DE692F" w:rsidRDefault="009B1DCD" w:rsidP="009B1DCD">
            <w:pPr>
              <w:spacing w:after="0"/>
              <w:jc w:val="left"/>
              <w:rPr>
                <w:rFonts w:asciiTheme="minorHAnsi" w:eastAsiaTheme="minorEastAsia" w:hAnsiTheme="minorHAnsi" w:cstheme="minorHAnsi"/>
                <w:sz w:val="16"/>
                <w:szCs w:val="16"/>
              </w:rPr>
            </w:pPr>
          </w:p>
        </w:tc>
        <w:tc>
          <w:tcPr>
            <w:tcW w:w="565" w:type="pct"/>
            <w:vAlign w:val="center"/>
          </w:tcPr>
          <w:p w14:paraId="1845BC9C"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Al menos diez (10) gobiernos regionales y provinciales han planificado y asignado presupuestos a la GIP, con el apoyo de directrices para incluir objetivos de sostenibilidad.</w:t>
            </w:r>
          </w:p>
          <w:p w14:paraId="4661592E" w14:textId="77777777" w:rsidR="009B1DCD" w:rsidRPr="00DE692F" w:rsidRDefault="009B1DCD" w:rsidP="009B1DCD">
            <w:pPr>
              <w:jc w:val="left"/>
              <w:rPr>
                <w:rFonts w:asciiTheme="minorHAnsi" w:hAnsiTheme="minorHAnsi" w:cstheme="minorHAnsi"/>
                <w:color w:val="000000"/>
                <w:sz w:val="16"/>
                <w:szCs w:val="16"/>
              </w:rPr>
            </w:pPr>
          </w:p>
          <w:p w14:paraId="5A7368F9" w14:textId="1FA71D29"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 los indicadores de nivel objetivo 2 y 3, cubriendo al menos 1 millón de hectáreas en restauración y PBPM.</w:t>
            </w:r>
          </w:p>
        </w:tc>
        <w:tc>
          <w:tcPr>
            <w:tcW w:w="484" w:type="pct"/>
            <w:vAlign w:val="center"/>
          </w:tcPr>
          <w:p w14:paraId="6CE7C3A0" w14:textId="49540F19"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7F6ED62B" w14:textId="2CDC9DF6" w:rsidR="00426B7C" w:rsidRPr="00E44CD7" w:rsidRDefault="00426B7C"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En progreso</w:t>
            </w:r>
          </w:p>
          <w:p w14:paraId="1509258F" w14:textId="77777777" w:rsidR="00426B7C" w:rsidRPr="00E44CD7" w:rsidRDefault="00426B7C" w:rsidP="00311AF1">
            <w:pPr>
              <w:spacing w:after="0"/>
              <w:jc w:val="left"/>
              <w:rPr>
                <w:rFonts w:asciiTheme="minorHAnsi" w:eastAsiaTheme="minorEastAsia" w:hAnsiTheme="minorHAnsi" w:cstheme="minorHAnsi"/>
                <w:sz w:val="16"/>
                <w:szCs w:val="16"/>
              </w:rPr>
            </w:pPr>
          </w:p>
          <w:p w14:paraId="6A08BD40" w14:textId="3A3CB20C" w:rsidR="00426B7C" w:rsidRPr="00E44CD7" w:rsidRDefault="00426B7C"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0 gobiernos regionales y provinciales que planifica</w:t>
            </w:r>
            <w:r w:rsidR="0020184F">
              <w:rPr>
                <w:rFonts w:asciiTheme="minorHAnsi" w:eastAsiaTheme="minorEastAsia" w:hAnsiTheme="minorHAnsi" w:cstheme="minorHAnsi"/>
                <w:sz w:val="16"/>
                <w:szCs w:val="16"/>
              </w:rPr>
              <w:t>n</w:t>
            </w:r>
            <w:r w:rsidRPr="00E44CD7">
              <w:rPr>
                <w:rFonts w:asciiTheme="minorHAnsi" w:eastAsiaTheme="minorEastAsia" w:hAnsiTheme="minorHAnsi" w:cstheme="minorHAnsi"/>
                <w:sz w:val="16"/>
                <w:szCs w:val="16"/>
              </w:rPr>
              <w:t xml:space="preserve"> y asignan presupuesto a la GIP</w:t>
            </w:r>
          </w:p>
          <w:p w14:paraId="5F6E2A54" w14:textId="77777777" w:rsidR="00426B7C" w:rsidRPr="00E44CD7" w:rsidRDefault="00426B7C" w:rsidP="00311AF1">
            <w:pPr>
              <w:spacing w:after="0"/>
              <w:jc w:val="left"/>
              <w:rPr>
                <w:rFonts w:asciiTheme="minorHAnsi" w:eastAsiaTheme="minorEastAsia" w:hAnsiTheme="minorHAnsi" w:cstheme="minorHAnsi"/>
                <w:sz w:val="16"/>
                <w:szCs w:val="16"/>
              </w:rPr>
            </w:pPr>
          </w:p>
          <w:p w14:paraId="3A5C055A" w14:textId="77777777" w:rsidR="002C2AEA" w:rsidRPr="002C2AEA" w:rsidRDefault="002C2AEA" w:rsidP="002C2AEA">
            <w:pPr>
              <w:spacing w:after="0"/>
              <w:jc w:val="left"/>
              <w:rPr>
                <w:rFonts w:asciiTheme="minorHAnsi" w:eastAsiaTheme="minorEastAsia" w:hAnsiTheme="minorHAnsi" w:cstheme="minorHAnsi"/>
                <w:sz w:val="16"/>
                <w:szCs w:val="16"/>
              </w:rPr>
            </w:pPr>
            <w:r w:rsidRPr="002C2AEA">
              <w:rPr>
                <w:rFonts w:asciiTheme="minorHAnsi" w:eastAsiaTheme="minorEastAsia" w:hAnsiTheme="minorHAnsi" w:cstheme="minorHAnsi"/>
                <w:sz w:val="16"/>
                <w:szCs w:val="16"/>
              </w:rPr>
              <w:t>Durante el año 2025 se han iniciado las acciones orientadas a alcanzar este resultado. En el marco de la Ley 32387, que promueve la descentralización fiscal para incentivar el desarrollo de los gobiernos locales mediante el fortalecimiento del Fondo de Compensación Municipal (FONCOMUN), se establece como criterio para acceder al incremento de dicho fondo que las municipalidades cuenten con al menos dos de sus tres instrumentos de planeamiento estratégico aprobados: a) Plan de Desarrollo Local Concertado (PDLC), b) Plan Estratégico Institucional (PEI) y c) Plan Operativo Institucional (POI).</w:t>
            </w:r>
          </w:p>
          <w:p w14:paraId="77463099" w14:textId="4741F384" w:rsidR="002C2AEA" w:rsidRPr="002C2AEA" w:rsidRDefault="002C2AEA" w:rsidP="002C2AEA">
            <w:pPr>
              <w:spacing w:after="0"/>
              <w:jc w:val="left"/>
              <w:rPr>
                <w:rFonts w:asciiTheme="minorHAnsi" w:eastAsiaTheme="minorEastAsia" w:hAnsiTheme="minorHAnsi" w:cstheme="minorHAnsi"/>
                <w:sz w:val="16"/>
                <w:szCs w:val="16"/>
              </w:rPr>
            </w:pPr>
            <w:r w:rsidRPr="002C2AEA">
              <w:rPr>
                <w:rFonts w:asciiTheme="minorHAnsi" w:eastAsiaTheme="minorEastAsia" w:hAnsiTheme="minorHAnsi" w:cstheme="minorHAnsi"/>
                <w:sz w:val="16"/>
                <w:szCs w:val="16"/>
              </w:rPr>
              <w:t>Si bien la planificación territorial (PDLC) antecede a la planificación institucional (PEI y POI), se ha identificado la necesidad de fortalecer estos últimos instrumentos para cumplir con los criterios establecidos</w:t>
            </w:r>
            <w:r w:rsidRPr="00E44CD7">
              <w:rPr>
                <w:rFonts w:asciiTheme="minorHAnsi" w:eastAsiaTheme="minorEastAsia" w:hAnsiTheme="minorHAnsi" w:cstheme="minorHAnsi"/>
                <w:sz w:val="16"/>
                <w:szCs w:val="16"/>
              </w:rPr>
              <w:t>, ya que viene siendo requerido por las municipalidades</w:t>
            </w:r>
            <w:r w:rsidRPr="002C2AEA">
              <w:rPr>
                <w:rFonts w:asciiTheme="minorHAnsi" w:eastAsiaTheme="minorEastAsia" w:hAnsiTheme="minorHAnsi" w:cstheme="minorHAnsi"/>
                <w:sz w:val="16"/>
                <w:szCs w:val="16"/>
              </w:rPr>
              <w:t>. En ese sentido, en coordinación con el Centro Nacional de Planeamiento Estratégico, se ha iniciado, a través de consultorías, la asistencia técnica para la formulación del PEI y POI en las provincias de San Ignacio y Rodríguez de Mendoza, así como en distritos priorizados, promoviendo la incorporación de la Gestión Integrada del Paisaje (GIP).</w:t>
            </w:r>
          </w:p>
          <w:p w14:paraId="5AC354CB" w14:textId="77777777" w:rsidR="002C2AEA" w:rsidRPr="002C2AEA" w:rsidRDefault="002C2AEA" w:rsidP="002C2AEA">
            <w:pPr>
              <w:spacing w:after="0"/>
              <w:jc w:val="left"/>
              <w:rPr>
                <w:rFonts w:asciiTheme="minorHAnsi" w:eastAsiaTheme="minorEastAsia" w:hAnsiTheme="minorHAnsi" w:cstheme="minorHAnsi"/>
                <w:sz w:val="16"/>
                <w:szCs w:val="16"/>
              </w:rPr>
            </w:pPr>
            <w:r w:rsidRPr="002C2AEA">
              <w:rPr>
                <w:rFonts w:asciiTheme="minorHAnsi" w:eastAsiaTheme="minorEastAsia" w:hAnsiTheme="minorHAnsi" w:cstheme="minorHAnsi"/>
                <w:sz w:val="16"/>
                <w:szCs w:val="16"/>
              </w:rPr>
              <w:t>Asimismo, se ha programado para el primer trimestre de 2026 la aprobación de dos PEI provinciales que incorporan la GIP, en el marco de la matriz estandarizada del CEPLAN.</w:t>
            </w:r>
          </w:p>
          <w:p w14:paraId="7D58BDD2" w14:textId="1E263215" w:rsidR="00311AF1" w:rsidRPr="00E44CD7" w:rsidRDefault="00311AF1" w:rsidP="00311AF1">
            <w:pPr>
              <w:spacing w:after="0"/>
              <w:jc w:val="left"/>
              <w:rPr>
                <w:rFonts w:asciiTheme="minorHAnsi" w:eastAsiaTheme="minorEastAsia" w:hAnsiTheme="minorHAnsi" w:cstheme="minorHAnsi"/>
                <w:sz w:val="16"/>
                <w:szCs w:val="16"/>
              </w:rPr>
            </w:pPr>
          </w:p>
        </w:tc>
      </w:tr>
      <w:tr w:rsidR="009B1DCD" w:rsidRPr="00DE692F" w14:paraId="5639C161" w14:textId="77777777" w:rsidTr="00D61877">
        <w:trPr>
          <w:trHeight w:val="23"/>
        </w:trPr>
        <w:tc>
          <w:tcPr>
            <w:tcW w:w="746" w:type="pct"/>
            <w:vMerge w:val="restart"/>
            <w:vAlign w:val="center"/>
          </w:tcPr>
          <w:p w14:paraId="714EBC86" w14:textId="77777777"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t xml:space="preserve">Componente 1: </w:t>
            </w:r>
            <w:r w:rsidRPr="00DE692F">
              <w:rPr>
                <w:rFonts w:asciiTheme="majorHAnsi" w:hAnsiTheme="majorHAnsi" w:cstheme="majorHAnsi"/>
                <w:b/>
                <w:sz w:val="16"/>
                <w:szCs w:val="16"/>
              </w:rPr>
              <w:t xml:space="preserve"> </w:t>
            </w:r>
            <w:r w:rsidRPr="00DE692F">
              <w:rPr>
                <w:rFonts w:asciiTheme="majorHAnsi" w:hAnsiTheme="majorHAnsi" w:cstheme="majorHAnsi"/>
                <w:bCs/>
                <w:sz w:val="16"/>
                <w:szCs w:val="16"/>
              </w:rPr>
              <w:t>Desarrollo de sistemas de gestión integrada del paisaje (GIP).</w:t>
            </w:r>
          </w:p>
          <w:p w14:paraId="5C43E4A2" w14:textId="6C3506D4"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bCs/>
                <w:sz w:val="16"/>
                <w:szCs w:val="16"/>
              </w:rPr>
              <w:lastRenderedPageBreak/>
              <w:t xml:space="preserve">Resultado 2: </w:t>
            </w:r>
            <w:r w:rsidRPr="00DE692F">
              <w:rPr>
                <w:rFonts w:asciiTheme="majorHAnsi" w:hAnsiTheme="majorHAnsi" w:cstheme="majorHAnsi"/>
                <w:color w:val="000000"/>
                <w:sz w:val="16"/>
                <w:szCs w:val="16"/>
              </w:rPr>
              <w:t xml:space="preserve">  Los planes de uso de la tierra, la fiscalización y el monitoreo, con enfoque de género e interculturalidad, apoyan el cambio de los pequeños agricultores hacia commodities libres de deforestación (CLD)</w:t>
            </w:r>
          </w:p>
        </w:tc>
        <w:tc>
          <w:tcPr>
            <w:tcW w:w="555" w:type="pct"/>
            <w:vAlign w:val="center"/>
          </w:tcPr>
          <w:p w14:paraId="0062E105"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lastRenderedPageBreak/>
              <w:t xml:space="preserve">Indicador 7: </w:t>
            </w:r>
          </w:p>
          <w:p w14:paraId="03578233" w14:textId="3545208F"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Número de gobiernos subnacionales y </w:t>
            </w:r>
            <w:r w:rsidRPr="00DE692F">
              <w:rPr>
                <w:rFonts w:asciiTheme="majorHAnsi" w:hAnsiTheme="majorHAnsi" w:cstheme="majorHAnsi"/>
                <w:color w:val="000000"/>
                <w:sz w:val="16"/>
                <w:szCs w:val="16"/>
              </w:rPr>
              <w:lastRenderedPageBreak/>
              <w:t xml:space="preserve">comunidades locales desarrollan e implementan políticas mejoradas de uso de la tierra y herramientas basadas en tecnología, incluido el cumplimiento de instrumentos que aporten a la sostenibilidad (por ejemplo, Zonificación Económica y Ecológica (ZEE), áreas naturales protegidas (ANP), Zonificación forestal (ZF), etc.) </w:t>
            </w:r>
          </w:p>
        </w:tc>
        <w:tc>
          <w:tcPr>
            <w:tcW w:w="486" w:type="pct"/>
            <w:vAlign w:val="center"/>
          </w:tcPr>
          <w:p w14:paraId="38E76FE4"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lastRenderedPageBreak/>
              <w:t xml:space="preserve">Las capacidades de los gobiernos regionales y </w:t>
            </w:r>
            <w:r w:rsidRPr="00DE692F">
              <w:rPr>
                <w:rFonts w:asciiTheme="majorHAnsi" w:hAnsiTheme="majorHAnsi" w:cstheme="majorHAnsi"/>
                <w:color w:val="000000"/>
                <w:sz w:val="16"/>
                <w:szCs w:val="16"/>
              </w:rPr>
              <w:lastRenderedPageBreak/>
              <w:t>locales y las comunidades fluctúan entre muy bajo y bajo. Falta de información y conocimientos técnicos, personal, financiación, equipamiento. Escasa planificación y coordinación interinstitucional. Se están estableciendo plataformas regionales de control y vigilancia (mesas redondas), aún en proceso.</w:t>
            </w:r>
          </w:p>
          <w:p w14:paraId="4AD484CD" w14:textId="21BC4C35"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 xml:space="preserve">Se cuenta con pocos acuerdos de conservación e incentivos financieros asociados: Cooperativa Oro Verde-ACOPAGRO- PROYECTO PUR-FUNAVI; CIMA-PN Cordillera Azul; CI en Alto Mayo; AMPA y APECO en el Corredor Martín-Sagrado. El número total de hectáreas bajo AC no ha sido definido. Las AC </w:t>
            </w:r>
            <w:r w:rsidRPr="00DE692F">
              <w:rPr>
                <w:rFonts w:asciiTheme="majorHAnsi" w:hAnsiTheme="majorHAnsi" w:cstheme="majorHAnsi"/>
                <w:color w:val="000000"/>
                <w:sz w:val="16"/>
                <w:szCs w:val="16"/>
              </w:rPr>
              <w:lastRenderedPageBreak/>
              <w:t>activos en San Martín cubren aprox. 43,000 ha.</w:t>
            </w:r>
          </w:p>
        </w:tc>
        <w:tc>
          <w:tcPr>
            <w:tcW w:w="580" w:type="pct"/>
            <w:vAlign w:val="center"/>
          </w:tcPr>
          <w:p w14:paraId="21274677" w14:textId="607BDF49" w:rsidR="009B1DCD" w:rsidRPr="00DE692F" w:rsidRDefault="009B1DCD" w:rsidP="009B1DCD">
            <w:pPr>
              <w:pBdr>
                <w:top w:val="nil"/>
                <w:left w:val="nil"/>
                <w:bottom w:val="nil"/>
                <w:right w:val="nil"/>
                <w:between w:val="nil"/>
              </w:pBdr>
              <w:jc w:val="left"/>
              <w:rPr>
                <w:rFonts w:asciiTheme="minorHAnsi" w:hAnsiTheme="minorHAnsi" w:cstheme="minorHAnsi"/>
                <w:sz w:val="16"/>
                <w:szCs w:val="16"/>
              </w:rPr>
            </w:pPr>
            <w:r w:rsidRPr="00DE692F">
              <w:rPr>
                <w:rFonts w:asciiTheme="minorHAnsi" w:hAnsiTheme="minorHAnsi" w:cstheme="minorHAnsi"/>
                <w:color w:val="000000"/>
                <w:sz w:val="16"/>
                <w:szCs w:val="16"/>
              </w:rPr>
              <w:lastRenderedPageBreak/>
              <w:t xml:space="preserve">03 gobiernos subnacionales y comunidades locales </w:t>
            </w:r>
            <w:r w:rsidRPr="00DE692F">
              <w:rPr>
                <w:rFonts w:asciiTheme="minorHAnsi" w:hAnsiTheme="minorHAnsi" w:cstheme="minorHAnsi"/>
                <w:color w:val="000000"/>
                <w:sz w:val="16"/>
                <w:szCs w:val="16"/>
              </w:rPr>
              <w:lastRenderedPageBreak/>
              <w:t>desarrollan e implementan políticas mejoradas de uso de la tierra y herramientas</w:t>
            </w:r>
            <w:r w:rsidRPr="00DE692F">
              <w:rPr>
                <w:rFonts w:asciiTheme="minorHAnsi" w:hAnsiTheme="minorHAnsi" w:cstheme="minorHAnsi"/>
                <w:sz w:val="16"/>
                <w:szCs w:val="16"/>
              </w:rPr>
              <w:t xml:space="preserve"> basadas en tecnología, incluido el cumplimiento de instrumentos que aporten a la sostenibilidad (por ejemplo, ZEE, ANP, ZF, etc.).</w:t>
            </w:r>
          </w:p>
          <w:p w14:paraId="48B86C6B" w14:textId="7AC7101B"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 xml:space="preserve">Esta meta contribuye a los indicadores </w:t>
            </w:r>
            <w:r w:rsidRPr="00DE692F">
              <w:rPr>
                <w:rFonts w:asciiTheme="minorHAnsi" w:hAnsiTheme="minorHAnsi" w:cstheme="minorHAnsi"/>
                <w:color w:val="000000"/>
                <w:sz w:val="16"/>
                <w:szCs w:val="16"/>
              </w:rPr>
              <w:t>de nivel objetivo 2 y 3, cubriendo al menos 200,000 hectáreas en restauración y PBPM.</w:t>
            </w:r>
          </w:p>
        </w:tc>
        <w:tc>
          <w:tcPr>
            <w:tcW w:w="565" w:type="pct"/>
            <w:vAlign w:val="center"/>
          </w:tcPr>
          <w:p w14:paraId="41C1C396" w14:textId="0B31E138"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10 gobiernos subnacionales y comunidades locales </w:t>
            </w:r>
            <w:r w:rsidRPr="00DE692F">
              <w:rPr>
                <w:rFonts w:asciiTheme="minorHAnsi" w:hAnsiTheme="minorHAnsi" w:cstheme="minorHAnsi"/>
                <w:color w:val="000000"/>
                <w:sz w:val="16"/>
                <w:szCs w:val="16"/>
              </w:rPr>
              <w:lastRenderedPageBreak/>
              <w:t>desarrollan e implementan políticas   mejoradas del uso de la tierra y herramientas basadas en tecnología, incluido el cumplimiento de instrumentos que aporten a la sostenibilidad por ejemplo, ZEE, ANP, ZF, etc.)</w:t>
            </w:r>
          </w:p>
          <w:p w14:paraId="418FE126" w14:textId="41791AFF"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 los indicadores de nivel objetivo 2 y 3, cubriendo al menos 1 millón de hectáreas en restauración y PBPM.</w:t>
            </w:r>
          </w:p>
        </w:tc>
        <w:tc>
          <w:tcPr>
            <w:tcW w:w="484" w:type="pct"/>
            <w:vAlign w:val="center"/>
          </w:tcPr>
          <w:p w14:paraId="210138C4" w14:textId="38D4118B"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58C469EB" w14:textId="1A2A5DAD" w:rsidR="00311AF1" w:rsidRPr="00E44CD7" w:rsidRDefault="008962AA" w:rsidP="00311AF1">
            <w:pPr>
              <w:spacing w:after="0"/>
              <w:jc w:val="left"/>
              <w:rPr>
                <w:rFonts w:asciiTheme="minorHAnsi" w:eastAsiaTheme="minorEastAsia" w:hAnsiTheme="minorHAnsi" w:cstheme="minorHAnsi"/>
                <w:b/>
                <w:bCs/>
                <w:sz w:val="16"/>
                <w:szCs w:val="16"/>
              </w:rPr>
            </w:pPr>
            <w:r w:rsidRPr="00E44CD7">
              <w:rPr>
                <w:rFonts w:asciiTheme="minorHAnsi" w:hAnsiTheme="minorHAnsi" w:cstheme="minorHAnsi"/>
                <w:sz w:val="16"/>
                <w:szCs w:val="16"/>
              </w:rPr>
              <w:t xml:space="preserve"> </w:t>
            </w:r>
            <w:r w:rsidR="006E60EC" w:rsidRPr="00E44CD7">
              <w:rPr>
                <w:rFonts w:asciiTheme="minorHAnsi" w:eastAsiaTheme="minorEastAsia" w:hAnsiTheme="minorHAnsi" w:cstheme="minorHAnsi"/>
                <w:b/>
                <w:bCs/>
                <w:sz w:val="16"/>
                <w:szCs w:val="16"/>
              </w:rPr>
              <w:t xml:space="preserve">02 gobiernos subnacionales </w:t>
            </w:r>
            <w:r w:rsidR="00311AF1" w:rsidRPr="00E44CD7">
              <w:rPr>
                <w:rFonts w:asciiTheme="minorHAnsi" w:eastAsiaTheme="minorEastAsia" w:hAnsiTheme="minorHAnsi" w:cstheme="minorHAnsi"/>
                <w:b/>
                <w:bCs/>
                <w:sz w:val="16"/>
                <w:szCs w:val="16"/>
              </w:rPr>
              <w:t>desarrollan e implementan políticas para la mejora del uso de la tierra</w:t>
            </w:r>
            <w:r w:rsidR="0020184F">
              <w:rPr>
                <w:rFonts w:asciiTheme="minorHAnsi" w:eastAsiaTheme="minorEastAsia" w:hAnsiTheme="minorHAnsi" w:cstheme="minorHAnsi"/>
                <w:b/>
                <w:bCs/>
                <w:sz w:val="16"/>
                <w:szCs w:val="16"/>
              </w:rPr>
              <w:t>.</w:t>
            </w:r>
          </w:p>
          <w:p w14:paraId="7607C32D" w14:textId="77777777" w:rsidR="00270ECD" w:rsidRPr="00E44CD7" w:rsidRDefault="00270ECD" w:rsidP="00311AF1">
            <w:pPr>
              <w:spacing w:after="0"/>
              <w:jc w:val="left"/>
              <w:rPr>
                <w:rFonts w:asciiTheme="minorHAnsi" w:eastAsiaTheme="minorEastAsia" w:hAnsiTheme="minorHAnsi" w:cstheme="minorHAnsi"/>
                <w:sz w:val="16"/>
                <w:szCs w:val="16"/>
              </w:rPr>
            </w:pPr>
          </w:p>
          <w:p w14:paraId="02203EAE" w14:textId="00BD2D54" w:rsidR="00311AF1" w:rsidRPr="00E44CD7" w:rsidRDefault="009711D3" w:rsidP="00311AF1">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lastRenderedPageBreak/>
              <w:t xml:space="preserve">El 2025 se ha brindado soporte a las autoridades forestales </w:t>
            </w:r>
            <w:r w:rsidR="006E60EC" w:rsidRPr="00E44CD7">
              <w:rPr>
                <w:rFonts w:asciiTheme="minorHAnsi" w:eastAsiaTheme="minorEastAsia" w:hAnsiTheme="minorHAnsi" w:cstheme="minorHAnsi"/>
                <w:sz w:val="16"/>
                <w:szCs w:val="16"/>
              </w:rPr>
              <w:t xml:space="preserve">de dos gobiernos subnacionales </w:t>
            </w:r>
            <w:r w:rsidRPr="00E44CD7">
              <w:rPr>
                <w:rFonts w:asciiTheme="minorHAnsi" w:eastAsiaTheme="minorEastAsia" w:hAnsiTheme="minorHAnsi" w:cstheme="minorHAnsi"/>
                <w:sz w:val="16"/>
                <w:szCs w:val="16"/>
              </w:rPr>
              <w:t>para la</w:t>
            </w:r>
            <w:r w:rsidR="00311AF1" w:rsidRPr="00E44CD7">
              <w:rPr>
                <w:rFonts w:asciiTheme="minorHAnsi" w:eastAsiaTheme="minorEastAsia" w:hAnsiTheme="minorHAnsi" w:cstheme="minorHAnsi"/>
                <w:sz w:val="16"/>
                <w:szCs w:val="16"/>
              </w:rPr>
              <w:t xml:space="preserve"> formalización de la tenencia de la tierra </w:t>
            </w:r>
            <w:r w:rsidRPr="00E44CD7">
              <w:rPr>
                <w:rFonts w:asciiTheme="minorHAnsi" w:eastAsiaTheme="minorEastAsia" w:hAnsiTheme="minorHAnsi" w:cstheme="minorHAnsi"/>
                <w:sz w:val="16"/>
                <w:szCs w:val="16"/>
              </w:rPr>
              <w:t xml:space="preserve">en tierras de protección y forestal, </w:t>
            </w:r>
            <w:r w:rsidR="00311AF1" w:rsidRPr="00E44CD7">
              <w:rPr>
                <w:rFonts w:asciiTheme="minorHAnsi" w:eastAsiaTheme="minorEastAsia" w:hAnsiTheme="minorHAnsi" w:cstheme="minorHAnsi"/>
                <w:sz w:val="16"/>
                <w:szCs w:val="16"/>
              </w:rPr>
              <w:t xml:space="preserve">con el compromiso de mantener sistemas agroforestales y </w:t>
            </w:r>
            <w:r w:rsidRPr="00E44CD7">
              <w:rPr>
                <w:rFonts w:asciiTheme="minorHAnsi" w:eastAsiaTheme="minorEastAsia" w:hAnsiTheme="minorHAnsi" w:cstheme="minorHAnsi"/>
                <w:sz w:val="16"/>
                <w:szCs w:val="16"/>
              </w:rPr>
              <w:t xml:space="preserve">actividades productivas </w:t>
            </w:r>
            <w:r w:rsidR="00311AF1" w:rsidRPr="00E44CD7">
              <w:rPr>
                <w:rFonts w:asciiTheme="minorHAnsi" w:eastAsiaTheme="minorEastAsia" w:hAnsiTheme="minorHAnsi" w:cstheme="minorHAnsi"/>
                <w:sz w:val="16"/>
                <w:szCs w:val="16"/>
              </w:rPr>
              <w:t>libre deforestación a través del soporte para el otorgamiento de los títulos habilitantes CCUSAF</w:t>
            </w:r>
            <w:r w:rsidRPr="00E44CD7">
              <w:rPr>
                <w:rFonts w:asciiTheme="minorHAnsi" w:eastAsiaTheme="minorEastAsia" w:hAnsiTheme="minorHAnsi" w:cstheme="minorHAnsi"/>
                <w:sz w:val="16"/>
                <w:szCs w:val="16"/>
              </w:rPr>
              <w:t>.</w:t>
            </w:r>
          </w:p>
          <w:p w14:paraId="61F4C7A3" w14:textId="77777777" w:rsidR="009711D3" w:rsidRPr="00E44CD7" w:rsidRDefault="009711D3" w:rsidP="00311AF1">
            <w:pPr>
              <w:spacing w:after="0"/>
              <w:jc w:val="left"/>
              <w:rPr>
                <w:rFonts w:asciiTheme="minorHAnsi" w:eastAsiaTheme="minorEastAsia" w:hAnsiTheme="minorHAnsi" w:cstheme="minorHAnsi"/>
                <w:b/>
                <w:bCs/>
                <w:sz w:val="16"/>
                <w:szCs w:val="16"/>
              </w:rPr>
            </w:pPr>
          </w:p>
          <w:p w14:paraId="2A1158AD" w14:textId="39876394" w:rsidR="00311AF1" w:rsidRPr="00E44CD7" w:rsidRDefault="00311AF1" w:rsidP="00FC72C8">
            <w:pPr>
              <w:pStyle w:val="Prrafodelista"/>
              <w:numPr>
                <w:ilvl w:val="0"/>
                <w:numId w:val="34"/>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Paisaje Tabaconas Chinchipe</w:t>
            </w:r>
            <w:r w:rsidR="00501DA0"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Autoridad forestal de Cajamarca- ATFFS Cajamarca sede San Ignacio</w:t>
            </w:r>
            <w:r w:rsidR="00FC72C8" w:rsidRPr="00E44CD7">
              <w:rPr>
                <w:rFonts w:asciiTheme="minorHAnsi" w:eastAsiaTheme="minorEastAsia" w:hAnsiTheme="minorHAnsi" w:cstheme="minorHAnsi"/>
                <w:sz w:val="16"/>
                <w:szCs w:val="16"/>
              </w:rPr>
              <w:t xml:space="preserve">: </w:t>
            </w:r>
          </w:p>
          <w:p w14:paraId="44087599" w14:textId="77777777" w:rsidR="00FC72C8" w:rsidRPr="00E44CD7" w:rsidRDefault="009711D3" w:rsidP="00FC72C8">
            <w:pPr>
              <w:pStyle w:val="Prrafodelista"/>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En coordinación con el SERFOR se brindó</w:t>
            </w:r>
            <w:r w:rsidR="00311AF1" w:rsidRPr="00E44CD7">
              <w:rPr>
                <w:rFonts w:asciiTheme="minorHAnsi" w:eastAsiaTheme="minorEastAsia" w:hAnsiTheme="minorHAnsi" w:cstheme="minorHAnsi"/>
                <w:sz w:val="16"/>
                <w:szCs w:val="16"/>
              </w:rPr>
              <w:t xml:space="preserve"> soporte</w:t>
            </w:r>
            <w:r w:rsidRPr="00E44CD7">
              <w:rPr>
                <w:rFonts w:asciiTheme="minorHAnsi" w:eastAsiaTheme="minorEastAsia" w:hAnsiTheme="minorHAnsi" w:cstheme="minorHAnsi"/>
                <w:sz w:val="16"/>
                <w:szCs w:val="16"/>
              </w:rPr>
              <w:t xml:space="preserve"> para el proceso de </w:t>
            </w:r>
            <w:r w:rsidR="00311AF1" w:rsidRPr="00E44CD7">
              <w:rPr>
                <w:rFonts w:asciiTheme="minorHAnsi" w:eastAsiaTheme="minorEastAsia" w:hAnsiTheme="minorHAnsi" w:cstheme="minorHAnsi"/>
                <w:sz w:val="16"/>
                <w:szCs w:val="16"/>
              </w:rPr>
              <w:t xml:space="preserve">otorgamiento de 50 </w:t>
            </w:r>
            <w:r w:rsidRPr="00E44CD7">
              <w:rPr>
                <w:rFonts w:asciiTheme="minorHAnsi" w:eastAsiaTheme="minorEastAsia" w:hAnsiTheme="minorHAnsi" w:cstheme="minorHAnsi"/>
                <w:sz w:val="16"/>
                <w:szCs w:val="16"/>
              </w:rPr>
              <w:t>títulos</w:t>
            </w:r>
            <w:r w:rsidR="00270ECD" w:rsidRPr="00E44CD7">
              <w:rPr>
                <w:rFonts w:asciiTheme="minorHAnsi" w:eastAsiaTheme="minorEastAsia" w:hAnsiTheme="minorHAnsi" w:cstheme="minorHAnsi"/>
                <w:sz w:val="16"/>
                <w:szCs w:val="16"/>
              </w:rPr>
              <w:t xml:space="preserve"> de Contratos de Cesión en Uso para Sistemas Agroforestales (</w:t>
            </w:r>
            <w:r w:rsidR="00311AF1" w:rsidRPr="00E44CD7">
              <w:rPr>
                <w:rFonts w:asciiTheme="minorHAnsi" w:eastAsiaTheme="minorEastAsia" w:hAnsiTheme="minorHAnsi" w:cstheme="minorHAnsi"/>
                <w:sz w:val="16"/>
                <w:szCs w:val="16"/>
              </w:rPr>
              <w:t>CCUSAF</w:t>
            </w:r>
            <w:r w:rsidR="00270ECD" w:rsidRPr="00E44CD7">
              <w:rPr>
                <w:rFonts w:asciiTheme="minorHAnsi" w:eastAsiaTheme="minorEastAsia" w:hAnsiTheme="minorHAnsi" w:cstheme="minorHAnsi"/>
                <w:sz w:val="16"/>
                <w:szCs w:val="16"/>
              </w:rPr>
              <w:t>)</w:t>
            </w:r>
            <w:r w:rsidR="00311AF1" w:rsidRPr="00E44CD7">
              <w:rPr>
                <w:rFonts w:asciiTheme="minorHAnsi" w:eastAsiaTheme="minorEastAsia" w:hAnsiTheme="minorHAnsi" w:cstheme="minorHAnsi"/>
                <w:sz w:val="16"/>
                <w:szCs w:val="16"/>
              </w:rPr>
              <w:t xml:space="preserve"> </w:t>
            </w:r>
            <w:r w:rsidR="00270ECD" w:rsidRPr="00E44CD7">
              <w:rPr>
                <w:rFonts w:asciiTheme="minorHAnsi" w:eastAsiaTheme="minorEastAsia" w:hAnsiTheme="minorHAnsi" w:cstheme="minorHAnsi"/>
                <w:sz w:val="16"/>
                <w:szCs w:val="16"/>
              </w:rPr>
              <w:t xml:space="preserve">en un área </w:t>
            </w:r>
            <w:r w:rsidRPr="00E44CD7">
              <w:rPr>
                <w:rFonts w:asciiTheme="minorHAnsi" w:eastAsiaTheme="minorEastAsia" w:hAnsiTheme="minorHAnsi" w:cstheme="minorHAnsi"/>
                <w:sz w:val="16"/>
                <w:szCs w:val="16"/>
              </w:rPr>
              <w:t>correspondiente a</w:t>
            </w:r>
            <w:r w:rsidR="00270ECD" w:rsidRPr="00E44CD7">
              <w:rPr>
                <w:rFonts w:asciiTheme="minorHAnsi" w:eastAsiaTheme="minorEastAsia" w:hAnsiTheme="minorHAnsi" w:cstheme="minorHAnsi"/>
                <w:sz w:val="16"/>
                <w:szCs w:val="16"/>
              </w:rPr>
              <w:t xml:space="preserve"> 5</w:t>
            </w:r>
            <w:r w:rsidRPr="00E44CD7">
              <w:rPr>
                <w:rFonts w:asciiTheme="minorHAnsi" w:eastAsiaTheme="minorEastAsia" w:hAnsiTheme="minorHAnsi" w:cstheme="minorHAnsi"/>
                <w:sz w:val="16"/>
                <w:szCs w:val="16"/>
              </w:rPr>
              <w:t>7</w:t>
            </w:r>
            <w:r w:rsidR="00270ECD" w:rsidRPr="00E44CD7">
              <w:rPr>
                <w:rFonts w:asciiTheme="minorHAnsi" w:eastAsiaTheme="minorEastAsia" w:hAnsiTheme="minorHAnsi" w:cstheme="minorHAnsi"/>
                <w:sz w:val="16"/>
                <w:szCs w:val="16"/>
              </w:rPr>
              <w:t xml:space="preserve"> .57 ha </w:t>
            </w:r>
            <w:r w:rsidR="00311AF1" w:rsidRPr="00E44CD7">
              <w:rPr>
                <w:rFonts w:asciiTheme="minorHAnsi" w:eastAsiaTheme="minorEastAsia" w:hAnsiTheme="minorHAnsi" w:cstheme="minorHAnsi"/>
                <w:sz w:val="16"/>
                <w:szCs w:val="16"/>
              </w:rPr>
              <w:t xml:space="preserve">en el </w:t>
            </w:r>
            <w:r w:rsidR="00FC72C8" w:rsidRPr="00E44CD7">
              <w:rPr>
                <w:rFonts w:asciiTheme="minorHAnsi" w:eastAsiaTheme="minorEastAsia" w:hAnsiTheme="minorHAnsi" w:cstheme="minorHAnsi"/>
                <w:sz w:val="16"/>
                <w:szCs w:val="16"/>
              </w:rPr>
              <w:t>di</w:t>
            </w:r>
            <w:r w:rsidR="00311AF1" w:rsidRPr="00E44CD7">
              <w:rPr>
                <w:rFonts w:asciiTheme="minorHAnsi" w:eastAsiaTheme="minorEastAsia" w:hAnsiTheme="minorHAnsi" w:cstheme="minorHAnsi"/>
                <w:sz w:val="16"/>
                <w:szCs w:val="16"/>
              </w:rPr>
              <w:t>strito de Tabaconas, Provincia de San Ignacio aprobados a través de Resolución administrativa N° D-000199-2025-MIDAGRI-SERFOR- ATFFS CAJAMARCA del 01 de diciembre del 202</w:t>
            </w:r>
            <w:r w:rsidRPr="00E44CD7">
              <w:rPr>
                <w:rFonts w:asciiTheme="minorHAnsi" w:eastAsiaTheme="minorEastAsia" w:hAnsiTheme="minorHAnsi" w:cstheme="minorHAnsi"/>
                <w:sz w:val="16"/>
                <w:szCs w:val="16"/>
              </w:rPr>
              <w:t>5. Para este proces</w:t>
            </w:r>
            <w:r w:rsidR="003C3028" w:rsidRPr="00E44CD7">
              <w:rPr>
                <w:rFonts w:asciiTheme="minorHAnsi" w:eastAsiaTheme="minorEastAsia" w:hAnsiTheme="minorHAnsi" w:cstheme="minorHAnsi"/>
                <w:sz w:val="16"/>
                <w:szCs w:val="16"/>
              </w:rPr>
              <w:t xml:space="preserve">o </w:t>
            </w:r>
            <w:r w:rsidR="00311AF1" w:rsidRPr="00E44CD7">
              <w:rPr>
                <w:rFonts w:asciiTheme="minorHAnsi" w:eastAsiaTheme="minorEastAsia" w:hAnsiTheme="minorHAnsi" w:cstheme="minorHAnsi"/>
                <w:sz w:val="16"/>
                <w:szCs w:val="16"/>
              </w:rPr>
              <w:t xml:space="preserve">se tiene previsto </w:t>
            </w:r>
            <w:r w:rsidRPr="00E44CD7">
              <w:rPr>
                <w:rFonts w:asciiTheme="minorHAnsi" w:eastAsiaTheme="minorEastAsia" w:hAnsiTheme="minorHAnsi" w:cstheme="minorHAnsi"/>
                <w:sz w:val="16"/>
                <w:szCs w:val="16"/>
              </w:rPr>
              <w:t xml:space="preserve">promover </w:t>
            </w:r>
            <w:r w:rsidR="00311AF1" w:rsidRPr="00E44CD7">
              <w:rPr>
                <w:rFonts w:asciiTheme="minorHAnsi" w:eastAsiaTheme="minorEastAsia" w:hAnsiTheme="minorHAnsi" w:cstheme="minorHAnsi"/>
                <w:sz w:val="16"/>
                <w:szCs w:val="16"/>
              </w:rPr>
              <w:t>un acuerdo de conservación con participación de la Municipalidad de</w:t>
            </w:r>
            <w:r w:rsidRPr="00E44CD7">
              <w:rPr>
                <w:rFonts w:asciiTheme="minorHAnsi" w:eastAsiaTheme="minorEastAsia" w:hAnsiTheme="minorHAnsi" w:cstheme="minorHAnsi"/>
                <w:sz w:val="16"/>
                <w:szCs w:val="16"/>
              </w:rPr>
              <w:t xml:space="preserve"> </w:t>
            </w:r>
            <w:r w:rsidR="00311AF1" w:rsidRPr="00E44CD7">
              <w:rPr>
                <w:rFonts w:asciiTheme="minorHAnsi" w:eastAsiaTheme="minorEastAsia" w:hAnsiTheme="minorHAnsi" w:cstheme="minorHAnsi"/>
                <w:sz w:val="16"/>
                <w:szCs w:val="16"/>
              </w:rPr>
              <w:t xml:space="preserve">Tabaconas, la Jefatura del Santuario Nacional Tabaconas Namballe y la ATFFS Cajamarca sede San Ignacio. </w:t>
            </w:r>
          </w:p>
          <w:p w14:paraId="39AE344A" w14:textId="77777777" w:rsidR="00FC72C8" w:rsidRPr="00E44CD7" w:rsidRDefault="00FC72C8" w:rsidP="00FC72C8">
            <w:pPr>
              <w:pStyle w:val="Prrafodelista"/>
              <w:spacing w:after="0"/>
              <w:rPr>
                <w:rFonts w:asciiTheme="minorHAnsi" w:eastAsiaTheme="minorEastAsia" w:hAnsiTheme="minorHAnsi" w:cstheme="minorHAnsi"/>
                <w:sz w:val="16"/>
                <w:szCs w:val="16"/>
              </w:rPr>
            </w:pPr>
          </w:p>
          <w:p w14:paraId="17995F92" w14:textId="7AE06B6E" w:rsidR="00311AF1" w:rsidRPr="00E44CD7" w:rsidRDefault="00311AF1" w:rsidP="00501DA0">
            <w:pPr>
              <w:pStyle w:val="Prrafodelista"/>
              <w:numPr>
                <w:ilvl w:val="0"/>
                <w:numId w:val="34"/>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Paisaje Cordilleras Bajo Huallaga. Autoridad Forestal del GORE Loreto</w:t>
            </w:r>
            <w:r w:rsidR="00501DA0" w:rsidRPr="00E44CD7">
              <w:rPr>
                <w:rFonts w:asciiTheme="minorHAnsi" w:eastAsiaTheme="minorEastAsia" w:hAnsiTheme="minorHAnsi" w:cstheme="minorHAnsi"/>
                <w:sz w:val="16"/>
                <w:szCs w:val="16"/>
              </w:rPr>
              <w:t>- Sub gerencia regional de gestión forestal y fauna silvestre</w:t>
            </w:r>
            <w:r w:rsidR="00FC72C8" w:rsidRPr="00E44CD7">
              <w:rPr>
                <w:rFonts w:asciiTheme="minorHAnsi" w:eastAsiaTheme="minorEastAsia" w:hAnsiTheme="minorHAnsi" w:cstheme="minorHAnsi"/>
                <w:sz w:val="16"/>
                <w:szCs w:val="16"/>
              </w:rPr>
              <w:t xml:space="preserve">: </w:t>
            </w:r>
            <w:r w:rsidR="009711D3" w:rsidRPr="00E44CD7">
              <w:rPr>
                <w:rFonts w:asciiTheme="minorHAnsi" w:eastAsiaTheme="minorEastAsia" w:hAnsiTheme="minorHAnsi" w:cstheme="minorHAnsi"/>
                <w:sz w:val="16"/>
                <w:szCs w:val="16"/>
              </w:rPr>
              <w:t>E</w:t>
            </w:r>
            <w:r w:rsidRPr="00E44CD7">
              <w:rPr>
                <w:rFonts w:asciiTheme="minorHAnsi" w:eastAsiaTheme="minorEastAsia" w:hAnsiTheme="minorHAnsi" w:cstheme="minorHAnsi"/>
                <w:sz w:val="16"/>
                <w:szCs w:val="16"/>
              </w:rPr>
              <w:t>n alianza con la GERFOR de Loreto</w:t>
            </w:r>
            <w:r w:rsidR="009711D3" w:rsidRPr="00E44CD7">
              <w:rPr>
                <w:rFonts w:asciiTheme="minorHAnsi" w:eastAsiaTheme="minorEastAsia" w:hAnsiTheme="minorHAnsi" w:cstheme="minorHAnsi"/>
                <w:sz w:val="16"/>
                <w:szCs w:val="16"/>
              </w:rPr>
              <w:t>, ahora sub gerencia regional de gestión forestal y fauna silvestre</w:t>
            </w:r>
            <w:r w:rsidRPr="00E44CD7">
              <w:rPr>
                <w:rFonts w:asciiTheme="minorHAnsi" w:eastAsiaTheme="minorEastAsia" w:hAnsiTheme="minorHAnsi" w:cstheme="minorHAnsi"/>
                <w:sz w:val="16"/>
                <w:szCs w:val="16"/>
              </w:rPr>
              <w:t xml:space="preserve"> se inició un proceso participativo para la determinación de dos polígonos CCUSAF para el otorgamiento </w:t>
            </w:r>
            <w:r w:rsidR="009711D3" w:rsidRPr="00E44CD7">
              <w:rPr>
                <w:rFonts w:asciiTheme="minorHAnsi" w:eastAsiaTheme="minorEastAsia" w:hAnsiTheme="minorHAnsi" w:cstheme="minorHAnsi"/>
                <w:sz w:val="16"/>
                <w:szCs w:val="16"/>
              </w:rPr>
              <w:t>de</w:t>
            </w:r>
            <w:r w:rsidRPr="00E44CD7">
              <w:rPr>
                <w:rFonts w:asciiTheme="minorHAnsi" w:eastAsiaTheme="minorEastAsia" w:hAnsiTheme="minorHAnsi" w:cstheme="minorHAnsi"/>
                <w:sz w:val="16"/>
                <w:szCs w:val="16"/>
              </w:rPr>
              <w:t xml:space="preserve"> oficio de títulos habilitantes en la Provincia de Alto Amazonas. Se tiene programa</w:t>
            </w:r>
            <w:r w:rsidR="009711D3" w:rsidRPr="00E44CD7">
              <w:rPr>
                <w:rFonts w:asciiTheme="minorHAnsi" w:eastAsiaTheme="minorEastAsia" w:hAnsiTheme="minorHAnsi" w:cstheme="minorHAnsi"/>
                <w:sz w:val="16"/>
                <w:szCs w:val="16"/>
              </w:rPr>
              <w:t>da</w:t>
            </w:r>
            <w:r w:rsidRPr="00E44CD7">
              <w:rPr>
                <w:rFonts w:asciiTheme="minorHAnsi" w:eastAsiaTheme="minorEastAsia" w:hAnsiTheme="minorHAnsi" w:cstheme="minorHAnsi"/>
                <w:sz w:val="16"/>
                <w:szCs w:val="16"/>
              </w:rPr>
              <w:t xml:space="preserve"> la aprobación por Resolución Administrativa para el primer trimestre del próximo año</w:t>
            </w:r>
            <w:r w:rsidR="00412B1C">
              <w:rPr>
                <w:rFonts w:asciiTheme="minorHAnsi" w:eastAsiaTheme="minorEastAsia" w:hAnsiTheme="minorHAnsi" w:cstheme="minorHAnsi"/>
                <w:sz w:val="16"/>
                <w:szCs w:val="16"/>
              </w:rPr>
              <w:t xml:space="preserve"> de dos polígonos en tres sectores con un total de 1,790.26 ha. </w:t>
            </w:r>
          </w:p>
          <w:p w14:paraId="6B913C8D" w14:textId="77777777" w:rsidR="009711D3" w:rsidRPr="00E44CD7" w:rsidRDefault="009711D3" w:rsidP="00501DA0">
            <w:pPr>
              <w:spacing w:after="0"/>
              <w:rPr>
                <w:rFonts w:asciiTheme="minorHAnsi" w:eastAsiaTheme="minorEastAsia" w:hAnsiTheme="minorHAnsi" w:cstheme="minorHAnsi"/>
                <w:sz w:val="16"/>
                <w:szCs w:val="16"/>
              </w:rPr>
            </w:pPr>
          </w:p>
          <w:p w14:paraId="71F42B25" w14:textId="339FA29D" w:rsidR="00311AF1" w:rsidRPr="00E44CD7" w:rsidRDefault="00311AF1" w:rsidP="00501DA0">
            <w:p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En ambas jurisdicciones</w:t>
            </w:r>
            <w:r w:rsidR="009711D3" w:rsidRPr="00E44CD7">
              <w:rPr>
                <w:rFonts w:asciiTheme="minorHAnsi" w:eastAsiaTheme="minorEastAsia" w:hAnsiTheme="minorHAnsi" w:cstheme="minorHAnsi"/>
                <w:sz w:val="16"/>
                <w:szCs w:val="16"/>
              </w:rPr>
              <w:t xml:space="preserve"> (</w:t>
            </w:r>
            <w:r w:rsidR="00501DA0" w:rsidRPr="00E44CD7">
              <w:rPr>
                <w:rFonts w:asciiTheme="minorHAnsi" w:eastAsiaTheme="minorEastAsia" w:hAnsiTheme="minorHAnsi" w:cstheme="minorHAnsi"/>
                <w:sz w:val="16"/>
                <w:szCs w:val="16"/>
              </w:rPr>
              <w:t>San Ignacio y Alto Amazonas)</w:t>
            </w:r>
            <w:r w:rsidRPr="00E44CD7">
              <w:rPr>
                <w:rFonts w:asciiTheme="minorHAnsi" w:eastAsiaTheme="minorEastAsia" w:hAnsiTheme="minorHAnsi" w:cstheme="minorHAnsi"/>
                <w:sz w:val="16"/>
                <w:szCs w:val="16"/>
              </w:rPr>
              <w:t xml:space="preserve"> se tiene programado continuar actividades para la promoción y gestión de CCUSAF.</w:t>
            </w:r>
          </w:p>
          <w:p w14:paraId="3F2812BE" w14:textId="77777777" w:rsidR="00311AF1" w:rsidRPr="00E44CD7" w:rsidRDefault="00311AF1" w:rsidP="00501DA0">
            <w:pPr>
              <w:spacing w:after="0"/>
              <w:rPr>
                <w:rFonts w:asciiTheme="minorHAnsi" w:eastAsiaTheme="minorEastAsia" w:hAnsiTheme="minorHAnsi" w:cstheme="minorHAnsi"/>
                <w:sz w:val="16"/>
                <w:szCs w:val="16"/>
              </w:rPr>
            </w:pPr>
          </w:p>
          <w:p w14:paraId="6CFF10D8" w14:textId="1ACB9A46" w:rsidR="00311AF1" w:rsidRPr="00E44CD7" w:rsidRDefault="00311AF1" w:rsidP="00501DA0">
            <w:p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lastRenderedPageBreak/>
              <w:t xml:space="preserve">Finalmente, en coordinación con SERFOR y OSINFOR se ha brindado soporte </w:t>
            </w:r>
            <w:r w:rsidR="00501DA0" w:rsidRPr="00E44CD7">
              <w:rPr>
                <w:rFonts w:asciiTheme="minorHAnsi" w:eastAsiaTheme="minorEastAsia" w:hAnsiTheme="minorHAnsi" w:cstheme="minorHAnsi"/>
                <w:sz w:val="16"/>
                <w:szCs w:val="16"/>
              </w:rPr>
              <w:t xml:space="preserve">al GORE Loreto y el ARA Amazonas </w:t>
            </w:r>
            <w:r w:rsidRPr="00E44CD7">
              <w:rPr>
                <w:rFonts w:asciiTheme="minorHAnsi" w:eastAsiaTheme="minorEastAsia" w:hAnsiTheme="minorHAnsi" w:cstheme="minorHAnsi"/>
                <w:sz w:val="16"/>
                <w:szCs w:val="16"/>
              </w:rPr>
              <w:t xml:space="preserve">para el fortalecimiento de capacidades de funcionarios y especialistas de Alto Amazonas (Loreto) y </w:t>
            </w:r>
            <w:r w:rsidR="00501DA0" w:rsidRPr="00E44CD7">
              <w:rPr>
                <w:rFonts w:asciiTheme="minorHAnsi" w:eastAsiaTheme="minorEastAsia" w:hAnsiTheme="minorHAnsi" w:cstheme="minorHAnsi"/>
                <w:sz w:val="16"/>
                <w:szCs w:val="16"/>
              </w:rPr>
              <w:t xml:space="preserve">en </w:t>
            </w:r>
            <w:r w:rsidRPr="00E44CD7">
              <w:rPr>
                <w:rFonts w:asciiTheme="minorHAnsi" w:eastAsiaTheme="minorEastAsia" w:hAnsiTheme="minorHAnsi" w:cstheme="minorHAnsi"/>
                <w:sz w:val="16"/>
                <w:szCs w:val="16"/>
              </w:rPr>
              <w:t>Rodríguez de Mendoza (Amazonas)</w:t>
            </w:r>
            <w:r w:rsidR="00501DA0"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utilizando la herramienta de la mochila forestal CCUSAF y promoviendo un día de escuela de campo</w:t>
            </w:r>
            <w:r w:rsidR="00501DA0" w:rsidRPr="00E44CD7">
              <w:rPr>
                <w:rFonts w:asciiTheme="minorHAnsi" w:eastAsiaTheme="minorEastAsia" w:hAnsiTheme="minorHAnsi" w:cstheme="minorHAnsi"/>
                <w:sz w:val="16"/>
                <w:szCs w:val="16"/>
              </w:rPr>
              <w:t xml:space="preserve"> con agricultores titulares de CCUSAF</w:t>
            </w:r>
          </w:p>
        </w:tc>
      </w:tr>
      <w:tr w:rsidR="009B1DCD" w:rsidRPr="00DE692F" w14:paraId="564EC970" w14:textId="77777777" w:rsidTr="00D61877">
        <w:trPr>
          <w:trHeight w:val="276"/>
        </w:trPr>
        <w:tc>
          <w:tcPr>
            <w:tcW w:w="746" w:type="pct"/>
            <w:vMerge/>
            <w:vAlign w:val="center"/>
          </w:tcPr>
          <w:p w14:paraId="5E4D8C87" w14:textId="77777777" w:rsidR="009B1DCD" w:rsidRPr="00DE692F" w:rsidRDefault="009B1DCD" w:rsidP="009B1DCD">
            <w:pPr>
              <w:spacing w:after="0"/>
              <w:rPr>
                <w:rFonts w:asciiTheme="majorHAnsi" w:hAnsiTheme="majorHAnsi" w:cstheme="majorHAnsi"/>
                <w:sz w:val="16"/>
                <w:szCs w:val="16"/>
              </w:rPr>
            </w:pPr>
          </w:p>
        </w:tc>
        <w:tc>
          <w:tcPr>
            <w:tcW w:w="555" w:type="pct"/>
            <w:vAlign w:val="center"/>
          </w:tcPr>
          <w:p w14:paraId="1EBFDB6F"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 xml:space="preserve">Indicador 8: </w:t>
            </w:r>
          </w:p>
          <w:p w14:paraId="4151E88C"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Número de informes de monitoreo, evaluación y retroalimentación (ME&amp;R) de los gobiernos regionales y locales, sobre las políticas mejoradas de uso de la tierra, articulados a los sistemas de monitoreo nacionales y regionales existentes y difundidos con el sector privado.  </w:t>
            </w:r>
          </w:p>
          <w:p w14:paraId="09D32C92" w14:textId="31BC601D" w:rsidR="009B1DCD" w:rsidRPr="00DE692F" w:rsidRDefault="009B1DCD" w:rsidP="009B1DCD">
            <w:pPr>
              <w:jc w:val="left"/>
              <w:rPr>
                <w:rFonts w:asciiTheme="majorHAnsi" w:hAnsiTheme="majorHAnsi" w:cstheme="majorHAnsi"/>
                <w:sz w:val="16"/>
                <w:szCs w:val="16"/>
              </w:rPr>
            </w:pPr>
            <w:r w:rsidRPr="00DE692F">
              <w:rPr>
                <w:rFonts w:asciiTheme="majorHAnsi" w:hAnsiTheme="majorHAnsi" w:cstheme="majorHAnsi"/>
                <w:sz w:val="16"/>
                <w:szCs w:val="16"/>
              </w:rPr>
              <w:t xml:space="preserve">Los informes incluyen los enfoques de género e interculturalidad.  </w:t>
            </w:r>
          </w:p>
        </w:tc>
        <w:tc>
          <w:tcPr>
            <w:tcW w:w="486" w:type="pct"/>
            <w:vAlign w:val="center"/>
          </w:tcPr>
          <w:p w14:paraId="12D48927" w14:textId="5BBAE925"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Se cuenta con sistemas funcionales de monitoreo nacionales (central) y regionales, tales como: SINIA y SIAR. El SIEA de MIDAGRI requiere se realicen arduos esfuerzos si ha de incorporarse CLD a nivel central y local. Se encuentran disponibles plataformas de información del Plan Nacional de Café y Cacao.</w:t>
            </w:r>
          </w:p>
        </w:tc>
        <w:tc>
          <w:tcPr>
            <w:tcW w:w="580" w:type="pct"/>
            <w:vAlign w:val="center"/>
          </w:tcPr>
          <w:p w14:paraId="43839EA3"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Dos (02) informes de monitoreo, evaluación y retroalimentación (ME&amp;R) de gobiernos regionales y locales sobre políticas mejoradas de uso de la tierra, integrados a los sistemas de monitoreo nacionales y regionales existentes y difundidos con el sector privado.</w:t>
            </w:r>
          </w:p>
          <w:p w14:paraId="2B69A929" w14:textId="77777777" w:rsidR="009B1DCD" w:rsidRPr="00DE692F" w:rsidRDefault="009B1DCD" w:rsidP="009B1DCD">
            <w:pPr>
              <w:jc w:val="left"/>
              <w:rPr>
                <w:rFonts w:asciiTheme="minorHAnsi" w:hAnsiTheme="minorHAnsi" w:cstheme="minorHAnsi"/>
                <w:color w:val="000000"/>
                <w:sz w:val="16"/>
                <w:szCs w:val="16"/>
              </w:rPr>
            </w:pPr>
          </w:p>
          <w:p w14:paraId="0F8B4A7C"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Esta meta contribuye al indicador de nivel objetivo 3 sobre hectáreas de paisajes bajo prácticas mejoradas.</w:t>
            </w:r>
          </w:p>
          <w:p w14:paraId="6DB5408D" w14:textId="77777777" w:rsidR="009B1DCD" w:rsidRPr="00DE692F" w:rsidRDefault="009B1DCD" w:rsidP="009B1DCD">
            <w:pPr>
              <w:jc w:val="left"/>
              <w:rPr>
                <w:rFonts w:asciiTheme="minorHAnsi" w:hAnsiTheme="minorHAnsi" w:cstheme="minorHAnsi"/>
                <w:sz w:val="16"/>
                <w:szCs w:val="16"/>
              </w:rPr>
            </w:pPr>
          </w:p>
          <w:p w14:paraId="10AFD554" w14:textId="1399D1D3" w:rsidR="009B1DCD" w:rsidRPr="00DE692F" w:rsidRDefault="009B1DCD" w:rsidP="009B1DCD">
            <w:pPr>
              <w:spacing w:after="0"/>
              <w:jc w:val="left"/>
              <w:rPr>
                <w:rFonts w:asciiTheme="minorHAnsi" w:eastAsiaTheme="minorEastAsia" w:hAnsiTheme="minorHAnsi" w:cstheme="minorHAnsi"/>
                <w:sz w:val="16"/>
                <w:szCs w:val="16"/>
              </w:rPr>
            </w:pPr>
          </w:p>
        </w:tc>
        <w:tc>
          <w:tcPr>
            <w:tcW w:w="565" w:type="pct"/>
            <w:vAlign w:val="center"/>
          </w:tcPr>
          <w:p w14:paraId="364F79F1" w14:textId="77777777" w:rsidR="009B1DCD" w:rsidRPr="00DE692F" w:rsidRDefault="009B1DCD" w:rsidP="009B1DCD">
            <w:pPr>
              <w:pBdr>
                <w:top w:val="nil"/>
                <w:left w:val="nil"/>
                <w:bottom w:val="nil"/>
                <w:right w:val="nil"/>
                <w:between w:val="nil"/>
              </w:pBdr>
              <w:jc w:val="left"/>
              <w:rPr>
                <w:rFonts w:asciiTheme="minorHAnsi" w:hAnsiTheme="minorHAnsi" w:cstheme="minorHAnsi"/>
                <w:sz w:val="16"/>
                <w:szCs w:val="16"/>
              </w:rPr>
            </w:pPr>
            <w:r w:rsidRPr="00DE692F">
              <w:rPr>
                <w:rFonts w:asciiTheme="minorHAnsi" w:hAnsiTheme="minorHAnsi" w:cstheme="minorHAnsi"/>
                <w:sz w:val="16"/>
                <w:szCs w:val="16"/>
              </w:rPr>
              <w:t>Diez (10) informes de monitoreo, evaluación y retroalimentación (ME&amp;R) de gobiernos regionales y locales sobre las políticas mejoradas de uso de la tierra, articulados a los sistemas de monitoreo nacionales y regionales existentes y difundidos con el sector privado (por ejemplo, compradores de CLD) y otros socios clave.</w:t>
            </w:r>
          </w:p>
          <w:p w14:paraId="2205DBD5" w14:textId="77777777" w:rsidR="009B1DCD" w:rsidRPr="00DE692F" w:rsidRDefault="009B1DCD" w:rsidP="009B1DCD">
            <w:pPr>
              <w:jc w:val="left"/>
              <w:rPr>
                <w:rFonts w:asciiTheme="minorHAnsi" w:hAnsiTheme="minorHAnsi" w:cstheme="minorHAnsi"/>
                <w:color w:val="FF0000"/>
                <w:sz w:val="16"/>
                <w:szCs w:val="16"/>
              </w:rPr>
            </w:pPr>
          </w:p>
          <w:p w14:paraId="435C5654" w14:textId="55CF4694"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al indicador de nivel objetivo 3 sobre hectáreas de paisajes bajo prácticas mejoradas.</w:t>
            </w:r>
          </w:p>
        </w:tc>
        <w:tc>
          <w:tcPr>
            <w:tcW w:w="484" w:type="pct"/>
            <w:vAlign w:val="center"/>
          </w:tcPr>
          <w:p w14:paraId="7BD31AD7" w14:textId="3AB1C4B5"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13CEBC89" w14:textId="698D0846" w:rsidR="003C3028" w:rsidRPr="00E44CD7" w:rsidRDefault="003C3028"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En progreso</w:t>
            </w:r>
          </w:p>
          <w:p w14:paraId="61CE3856" w14:textId="77777777" w:rsidR="003C3028" w:rsidRPr="00E44CD7" w:rsidRDefault="003C3028" w:rsidP="008962AA">
            <w:pPr>
              <w:spacing w:after="0"/>
              <w:jc w:val="left"/>
              <w:rPr>
                <w:rFonts w:asciiTheme="minorHAnsi" w:hAnsiTheme="minorHAnsi" w:cstheme="minorHAnsi"/>
                <w:sz w:val="16"/>
                <w:szCs w:val="16"/>
              </w:rPr>
            </w:pPr>
          </w:p>
          <w:p w14:paraId="2EB07FE8" w14:textId="35E45647" w:rsidR="009B1DCD" w:rsidRPr="00E44CD7" w:rsidRDefault="003C3028"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0 informes de monitoreo, evaluación y retroalimentación</w:t>
            </w:r>
          </w:p>
          <w:p w14:paraId="2A038169" w14:textId="77777777" w:rsidR="003C3028" w:rsidRPr="00E44CD7" w:rsidRDefault="003C3028" w:rsidP="008962AA">
            <w:pPr>
              <w:spacing w:after="0"/>
              <w:jc w:val="left"/>
              <w:rPr>
                <w:rFonts w:asciiTheme="minorHAnsi" w:hAnsiTheme="minorHAnsi" w:cstheme="minorHAnsi"/>
                <w:sz w:val="16"/>
                <w:szCs w:val="16"/>
              </w:rPr>
            </w:pPr>
          </w:p>
          <w:p w14:paraId="5F1DF98C" w14:textId="4856DD6E" w:rsidR="00501DA0" w:rsidRPr="00E44CD7" w:rsidRDefault="00311AF1" w:rsidP="0014425A">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Número de informes de monitoreo, evaluación y </w:t>
            </w:r>
            <w:r w:rsidR="00501DA0" w:rsidRPr="00E44CD7">
              <w:rPr>
                <w:rFonts w:asciiTheme="minorHAnsi" w:eastAsiaTheme="minorEastAsia" w:hAnsiTheme="minorHAnsi" w:cstheme="minorHAnsi"/>
                <w:sz w:val="16"/>
                <w:szCs w:val="16"/>
              </w:rPr>
              <w:t>retroalimentación de</w:t>
            </w:r>
            <w:r w:rsidRPr="00E44CD7">
              <w:rPr>
                <w:rFonts w:asciiTheme="minorHAnsi" w:eastAsiaTheme="minorEastAsia" w:hAnsiTheme="minorHAnsi" w:cstheme="minorHAnsi"/>
                <w:sz w:val="16"/>
                <w:szCs w:val="16"/>
              </w:rPr>
              <w:t xml:space="preserve"> autoridades locales</w:t>
            </w:r>
            <w:r w:rsidR="001652AD">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El presente resultado, se plantea como parte del proceso de fortalecimiento de capacidades a las autoridades locales para el monitoreo de la deforestación y el control territorial</w:t>
            </w:r>
            <w:r w:rsidR="00EE4637">
              <w:rPr>
                <w:rFonts w:asciiTheme="minorHAnsi" w:eastAsiaTheme="minorEastAsia" w:hAnsiTheme="minorHAnsi" w:cstheme="minorHAnsi"/>
                <w:sz w:val="16"/>
                <w:szCs w:val="16"/>
              </w:rPr>
              <w:t xml:space="preserve"> e iniciará el 2026</w:t>
            </w:r>
            <w:r w:rsidRPr="00E44CD7">
              <w:rPr>
                <w:rFonts w:asciiTheme="minorHAnsi" w:eastAsiaTheme="minorEastAsia" w:hAnsiTheme="minorHAnsi" w:cstheme="minorHAnsi"/>
                <w:sz w:val="16"/>
                <w:szCs w:val="16"/>
              </w:rPr>
              <w:t xml:space="preserve">. </w:t>
            </w:r>
          </w:p>
          <w:p w14:paraId="13D0F7FC" w14:textId="23FB8121" w:rsidR="00501DA0" w:rsidRPr="00E44CD7" w:rsidRDefault="00501DA0" w:rsidP="00501DA0">
            <w:pPr>
              <w:spacing w:after="0"/>
              <w:rPr>
                <w:rFonts w:asciiTheme="minorHAnsi" w:eastAsiaTheme="minorEastAsia" w:hAnsiTheme="minorHAnsi" w:cstheme="minorHAnsi"/>
                <w:sz w:val="16"/>
                <w:szCs w:val="16"/>
              </w:rPr>
            </w:pPr>
          </w:p>
          <w:p w14:paraId="7F896A1C" w14:textId="77777777" w:rsidR="00311AF1" w:rsidRDefault="00311AF1" w:rsidP="00501DA0">
            <w:p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Se ha identificado, en el paisaje Tabaconas Chinchipe, un piloto de modelo </w:t>
            </w:r>
            <w:r w:rsidR="00725DFE" w:rsidRPr="00E44CD7">
              <w:rPr>
                <w:rFonts w:asciiTheme="minorHAnsi" w:eastAsiaTheme="minorEastAsia" w:hAnsiTheme="minorHAnsi" w:cstheme="minorHAnsi"/>
                <w:sz w:val="16"/>
                <w:szCs w:val="16"/>
              </w:rPr>
              <w:t>para el</w:t>
            </w:r>
            <w:r w:rsidRPr="00E44CD7">
              <w:rPr>
                <w:rFonts w:asciiTheme="minorHAnsi" w:eastAsiaTheme="minorEastAsia" w:hAnsiTheme="minorHAnsi" w:cstheme="minorHAnsi"/>
                <w:sz w:val="16"/>
                <w:szCs w:val="16"/>
              </w:rPr>
              <w:t xml:space="preserve"> monitore</w:t>
            </w:r>
            <w:r w:rsidR="003C3028" w:rsidRPr="00E44CD7">
              <w:rPr>
                <w:rFonts w:asciiTheme="minorHAnsi" w:eastAsiaTheme="minorEastAsia" w:hAnsiTheme="minorHAnsi" w:cstheme="minorHAnsi"/>
                <w:sz w:val="16"/>
                <w:szCs w:val="16"/>
              </w:rPr>
              <w:t>o</w:t>
            </w:r>
            <w:r w:rsidRPr="00E44CD7">
              <w:rPr>
                <w:rFonts w:asciiTheme="minorHAnsi" w:eastAsiaTheme="minorEastAsia" w:hAnsiTheme="minorHAnsi" w:cstheme="minorHAnsi"/>
                <w:sz w:val="16"/>
                <w:szCs w:val="16"/>
              </w:rPr>
              <w:t xml:space="preserve"> de la deforestación y uso de suelo a fin de contribuir a la conectividad ecológica entre los diferentes niveles de ANP (SNTN, </w:t>
            </w:r>
            <w:r w:rsidR="00501DA0" w:rsidRPr="00E44CD7">
              <w:rPr>
                <w:rFonts w:asciiTheme="minorHAnsi" w:eastAsiaTheme="minorEastAsia" w:hAnsiTheme="minorHAnsi" w:cstheme="minorHAnsi"/>
                <w:sz w:val="16"/>
                <w:szCs w:val="16"/>
              </w:rPr>
              <w:t xml:space="preserve">02 </w:t>
            </w:r>
            <w:r w:rsidRPr="00E44CD7">
              <w:rPr>
                <w:rFonts w:asciiTheme="minorHAnsi" w:eastAsiaTheme="minorEastAsia" w:hAnsiTheme="minorHAnsi" w:cstheme="minorHAnsi"/>
                <w:sz w:val="16"/>
                <w:szCs w:val="16"/>
              </w:rPr>
              <w:t xml:space="preserve">ACR, </w:t>
            </w:r>
            <w:r w:rsidR="00501DA0" w:rsidRPr="00E44CD7">
              <w:rPr>
                <w:rFonts w:asciiTheme="minorHAnsi" w:eastAsiaTheme="minorEastAsia" w:hAnsiTheme="minorHAnsi" w:cstheme="minorHAnsi"/>
                <w:sz w:val="16"/>
                <w:szCs w:val="16"/>
              </w:rPr>
              <w:t xml:space="preserve">01 </w:t>
            </w:r>
            <w:r w:rsidRPr="00E44CD7">
              <w:rPr>
                <w:rFonts w:asciiTheme="minorHAnsi" w:eastAsiaTheme="minorEastAsia" w:hAnsiTheme="minorHAnsi" w:cstheme="minorHAnsi"/>
                <w:sz w:val="16"/>
                <w:szCs w:val="16"/>
              </w:rPr>
              <w:t>ACP y otras modalidades de conservación</w:t>
            </w:r>
            <w:r w:rsidR="00501DA0"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w:t>
            </w:r>
            <w:r w:rsidR="00501DA0" w:rsidRPr="00E44CD7">
              <w:rPr>
                <w:rFonts w:asciiTheme="minorHAnsi" w:eastAsiaTheme="minorEastAsia" w:hAnsiTheme="minorHAnsi" w:cstheme="minorHAnsi"/>
                <w:sz w:val="16"/>
                <w:szCs w:val="16"/>
              </w:rPr>
              <w:t>con la participación de</w:t>
            </w:r>
            <w:r w:rsidRPr="00E44CD7">
              <w:rPr>
                <w:rFonts w:asciiTheme="minorHAnsi" w:eastAsiaTheme="minorEastAsia" w:hAnsiTheme="minorHAnsi" w:cstheme="minorHAnsi"/>
                <w:sz w:val="16"/>
                <w:szCs w:val="16"/>
              </w:rPr>
              <w:t xml:space="preserve"> la autoridad local de Tabaconas, la autoridad forestal</w:t>
            </w:r>
            <w:r w:rsidR="00501DA0"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empresas y cooperativas.</w:t>
            </w:r>
          </w:p>
          <w:p w14:paraId="3E9AEB4E" w14:textId="41306964" w:rsidR="00EE4637" w:rsidRDefault="00EE4637" w:rsidP="00501DA0">
            <w:pPr>
              <w:spacing w:after="0"/>
              <w:rPr>
                <w:rFonts w:asciiTheme="minorHAnsi" w:eastAsiaTheme="minorEastAsia" w:hAnsiTheme="minorHAnsi" w:cstheme="minorHAnsi"/>
                <w:sz w:val="16"/>
                <w:szCs w:val="16"/>
              </w:rPr>
            </w:pPr>
            <w:r>
              <w:rPr>
                <w:rFonts w:asciiTheme="minorHAnsi" w:eastAsiaTheme="minorEastAsia" w:hAnsiTheme="minorHAnsi" w:cstheme="minorHAnsi"/>
                <w:sz w:val="16"/>
                <w:szCs w:val="16"/>
              </w:rPr>
              <w:t>Por ello, se inició generando condiciones habilitantes mediante el fortalecimiento de la ATFFS Cajamarca, sede San Ignacio (autoridad forestal).</w:t>
            </w:r>
          </w:p>
          <w:p w14:paraId="04D6C6C5" w14:textId="37850B1C" w:rsidR="00EE4637" w:rsidRPr="00E44CD7" w:rsidRDefault="00EE4637" w:rsidP="00EE4637">
            <w:pPr>
              <w:tabs>
                <w:tab w:val="left" w:pos="4680"/>
              </w:tabs>
              <w:rPr>
                <w:rFonts w:asciiTheme="minorHAnsi" w:eastAsiaTheme="minorEastAsia" w:hAnsiTheme="minorHAnsi" w:cstheme="minorHAnsi"/>
                <w:sz w:val="16"/>
                <w:szCs w:val="16"/>
              </w:rPr>
            </w:pPr>
          </w:p>
        </w:tc>
      </w:tr>
      <w:tr w:rsidR="009B1DCD" w:rsidRPr="00DE692F" w14:paraId="24C50D2F" w14:textId="77777777" w:rsidTr="00D61877">
        <w:trPr>
          <w:trHeight w:val="23"/>
        </w:trPr>
        <w:tc>
          <w:tcPr>
            <w:tcW w:w="746" w:type="pct"/>
            <w:vMerge w:val="restart"/>
            <w:vAlign w:val="center"/>
          </w:tcPr>
          <w:p w14:paraId="7FADB55A" w14:textId="0DF3BF5F"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t xml:space="preserve">Componente 2: </w:t>
            </w:r>
            <w:r w:rsidRPr="00DE692F">
              <w:rPr>
                <w:rFonts w:asciiTheme="majorHAnsi" w:hAnsiTheme="majorHAnsi" w:cstheme="majorHAnsi"/>
                <w:b/>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bCs/>
                <w:sz w:val="16"/>
                <w:szCs w:val="16"/>
              </w:rPr>
              <w:t>Promoción de commodities libres de deforestación y sostenibles y cadenas de valor responsables.</w:t>
            </w:r>
          </w:p>
          <w:p w14:paraId="460F9F51" w14:textId="1840C6C9" w:rsidR="009B1DCD" w:rsidRPr="00DE692F" w:rsidRDefault="009B1DCD" w:rsidP="009B1DCD">
            <w:pPr>
              <w:spacing w:after="0"/>
              <w:rPr>
                <w:rFonts w:asciiTheme="majorHAnsi" w:eastAsiaTheme="minorEastAsia" w:hAnsiTheme="majorHAnsi" w:cstheme="majorHAnsi"/>
                <w:b/>
                <w:bCs/>
                <w:sz w:val="16"/>
                <w:szCs w:val="16"/>
              </w:rPr>
            </w:pPr>
            <w:r w:rsidRPr="00DE692F">
              <w:rPr>
                <w:rFonts w:asciiTheme="majorHAnsi" w:hAnsiTheme="majorHAnsi" w:cstheme="majorHAnsi"/>
                <w:b/>
                <w:bCs/>
                <w:sz w:val="16"/>
                <w:szCs w:val="16"/>
              </w:rPr>
              <w:t xml:space="preserve">Resultado 3: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 xml:space="preserve">La participación del sector privado y las cadenas de valor responsables aumentan la producción sostenible de commodities, </w:t>
            </w:r>
            <w:r w:rsidRPr="00DE692F">
              <w:rPr>
                <w:rFonts w:asciiTheme="majorHAnsi" w:hAnsiTheme="majorHAnsi" w:cstheme="majorHAnsi"/>
                <w:color w:val="000000"/>
                <w:sz w:val="16"/>
                <w:szCs w:val="16"/>
              </w:rPr>
              <w:lastRenderedPageBreak/>
              <w:t xml:space="preserve">respaldada por </w:t>
            </w:r>
            <w:r w:rsidR="00CE23E1" w:rsidRPr="00DE692F">
              <w:rPr>
                <w:rFonts w:asciiTheme="majorHAnsi" w:hAnsiTheme="majorHAnsi" w:cstheme="majorHAnsi"/>
                <w:color w:val="000000"/>
                <w:sz w:val="16"/>
                <w:szCs w:val="16"/>
              </w:rPr>
              <w:t xml:space="preserve">una </w:t>
            </w:r>
            <w:r w:rsidR="00CE23E1" w:rsidRPr="00DE692F">
              <w:rPr>
                <w:rFonts w:asciiTheme="majorHAnsi" w:hAnsiTheme="majorHAnsi" w:cstheme="majorHAnsi"/>
                <w:sz w:val="16"/>
                <w:szCs w:val="16"/>
              </w:rPr>
              <w:t>mayor</w:t>
            </w:r>
            <w:r w:rsidRPr="00DE692F">
              <w:rPr>
                <w:rFonts w:asciiTheme="majorHAnsi" w:hAnsiTheme="majorHAnsi" w:cstheme="majorHAnsi"/>
                <w:color w:val="000000"/>
                <w:sz w:val="16"/>
                <w:szCs w:val="16"/>
              </w:rPr>
              <w:t xml:space="preserve"> capacidad técnica y financiera de los pequeños y medianos propietarios, con enfoque de género e interculturalidad.</w:t>
            </w:r>
          </w:p>
        </w:tc>
        <w:tc>
          <w:tcPr>
            <w:tcW w:w="555" w:type="pct"/>
            <w:vAlign w:val="center"/>
          </w:tcPr>
          <w:p w14:paraId="3D65A70D"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lastRenderedPageBreak/>
              <w:t>Indicador 9:</w:t>
            </w:r>
          </w:p>
          <w:p w14:paraId="498893BA" w14:textId="7FC66700" w:rsidR="009B1DCD" w:rsidRPr="00DE692F" w:rsidRDefault="009B1DCD" w:rsidP="009B1DCD">
            <w:pPr>
              <w:spacing w:after="0"/>
              <w:rPr>
                <w:rFonts w:asciiTheme="majorHAnsi" w:eastAsiaTheme="minorEastAsia" w:hAnsiTheme="majorHAnsi" w:cstheme="majorHAnsi"/>
                <w:sz w:val="16"/>
                <w:szCs w:val="16"/>
              </w:rPr>
            </w:pPr>
            <w:r w:rsidRPr="00DE692F">
              <w:rPr>
                <w:rFonts w:asciiTheme="majorHAnsi" w:hAnsiTheme="majorHAnsi" w:cstheme="majorHAnsi"/>
                <w:color w:val="000000"/>
                <w:sz w:val="16"/>
                <w:szCs w:val="16"/>
              </w:rPr>
              <w:t xml:space="preserve">Número de paquetes tecnológicos con consideraciones climáticas, de biodiversidad y enfoque de género implementados por los/as </w:t>
            </w:r>
            <w:r w:rsidRPr="00DE692F">
              <w:rPr>
                <w:rFonts w:asciiTheme="majorHAnsi" w:hAnsiTheme="majorHAnsi" w:cstheme="majorHAnsi"/>
                <w:color w:val="000000"/>
                <w:sz w:val="16"/>
                <w:szCs w:val="16"/>
              </w:rPr>
              <w:lastRenderedPageBreak/>
              <w:t>beneficiarios/as del Proyecto, apoyando los planes nacionales de acción de commodities para una producción libre de deforestación.</w:t>
            </w:r>
          </w:p>
        </w:tc>
        <w:tc>
          <w:tcPr>
            <w:tcW w:w="486" w:type="pct"/>
            <w:vAlign w:val="center"/>
          </w:tcPr>
          <w:p w14:paraId="1C4347B3" w14:textId="3CD38020"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lastRenderedPageBreak/>
              <w:t xml:space="preserve">Se cuenta con información limitada sobre los paquetes tecnológicos de CLD y respecto de financiamiento accesible dentro de las </w:t>
            </w:r>
            <w:r w:rsidRPr="00DE692F">
              <w:rPr>
                <w:rFonts w:asciiTheme="majorHAnsi" w:hAnsiTheme="majorHAnsi" w:cstheme="majorHAnsi"/>
                <w:color w:val="000000"/>
                <w:sz w:val="16"/>
                <w:szCs w:val="16"/>
              </w:rPr>
              <w:lastRenderedPageBreak/>
              <w:t>jurisdicciones del Proyecto. Hay plataformas nacionales y regionales disponibles, pero carecen articulación y la participación de los principales compradores de commodities en ellas es limitada.</w:t>
            </w:r>
          </w:p>
        </w:tc>
        <w:tc>
          <w:tcPr>
            <w:tcW w:w="580" w:type="pct"/>
            <w:vAlign w:val="center"/>
          </w:tcPr>
          <w:p w14:paraId="0576092B" w14:textId="0F135323"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02 paquetes tecnológicos diseñados con consideraciones climáticas, de biodiversidad y enfoque de género, apoyando a los planes </w:t>
            </w:r>
            <w:r w:rsidRPr="00DE692F">
              <w:rPr>
                <w:rFonts w:asciiTheme="minorHAnsi" w:hAnsiTheme="minorHAnsi" w:cstheme="minorHAnsi"/>
                <w:color w:val="000000"/>
                <w:sz w:val="16"/>
                <w:szCs w:val="16"/>
              </w:rPr>
              <w:lastRenderedPageBreak/>
              <w:t>nacionales de acción de CLD.</w:t>
            </w:r>
          </w:p>
          <w:p w14:paraId="0CA10041" w14:textId="1C4A5C3D"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 los indicadores de nivel objetivo 2 y 3.</w:t>
            </w:r>
          </w:p>
        </w:tc>
        <w:tc>
          <w:tcPr>
            <w:tcW w:w="565" w:type="pct"/>
            <w:vAlign w:val="center"/>
          </w:tcPr>
          <w:p w14:paraId="6BC14AAD" w14:textId="73692421"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lastRenderedPageBreak/>
              <w:t>02 paquetes tecnológicos con consideraciones climáticas, de biodiversidad y enfoque de género implementados.</w:t>
            </w:r>
          </w:p>
          <w:p w14:paraId="745CFA90" w14:textId="715AC9B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lastRenderedPageBreak/>
              <w:t>Esta meta contribuye a los indicadores de nivel objetivo 2 y 3.</w:t>
            </w:r>
          </w:p>
        </w:tc>
        <w:tc>
          <w:tcPr>
            <w:tcW w:w="484" w:type="pct"/>
            <w:vAlign w:val="center"/>
          </w:tcPr>
          <w:p w14:paraId="611D0D3C" w14:textId="50D42AF8"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113B75FB"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En progreso. </w:t>
            </w:r>
          </w:p>
          <w:p w14:paraId="3C90ADFC" w14:textId="6A571ECB"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0 paquetes tecnológico</w:t>
            </w:r>
            <w:r w:rsidR="00EA693B" w:rsidRPr="00E44CD7">
              <w:rPr>
                <w:rFonts w:asciiTheme="minorHAnsi" w:hAnsiTheme="minorHAnsi" w:cstheme="minorHAnsi"/>
                <w:sz w:val="16"/>
                <w:szCs w:val="16"/>
              </w:rPr>
              <w:t xml:space="preserve">s </w:t>
            </w:r>
            <w:r w:rsidR="00D53FB3" w:rsidRPr="00E44CD7">
              <w:rPr>
                <w:rFonts w:asciiTheme="minorHAnsi" w:hAnsiTheme="minorHAnsi" w:cstheme="minorHAnsi"/>
                <w:sz w:val="16"/>
                <w:szCs w:val="16"/>
              </w:rPr>
              <w:t>implementado</w:t>
            </w:r>
            <w:r w:rsidR="00EA693B" w:rsidRPr="00E44CD7">
              <w:rPr>
                <w:rFonts w:asciiTheme="minorHAnsi" w:hAnsiTheme="minorHAnsi" w:cstheme="minorHAnsi"/>
                <w:sz w:val="16"/>
                <w:szCs w:val="16"/>
              </w:rPr>
              <w:t>s</w:t>
            </w:r>
          </w:p>
          <w:p w14:paraId="1BDB9AC0" w14:textId="49BC407D" w:rsidR="00C66167" w:rsidRPr="00E44CD7" w:rsidRDefault="00C66167" w:rsidP="008962AA">
            <w:pPr>
              <w:spacing w:after="0"/>
              <w:jc w:val="left"/>
              <w:rPr>
                <w:rFonts w:asciiTheme="minorHAnsi" w:eastAsiaTheme="minorEastAsia" w:hAnsiTheme="minorHAnsi" w:cstheme="minorHAnsi"/>
                <w:sz w:val="16"/>
                <w:szCs w:val="16"/>
              </w:rPr>
            </w:pPr>
          </w:p>
          <w:p w14:paraId="3B69D7E1" w14:textId="02505300" w:rsidR="002801ED" w:rsidRDefault="00F2112F" w:rsidP="00F2112F">
            <w:pPr>
              <w:tabs>
                <w:tab w:val="num" w:pos="720"/>
              </w:tabs>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Durante el 2025, se </w:t>
            </w:r>
            <w:r w:rsidR="00C66167" w:rsidRPr="00C66167">
              <w:rPr>
                <w:rFonts w:asciiTheme="minorHAnsi" w:eastAsiaTheme="minorEastAsia" w:hAnsiTheme="minorHAnsi" w:cstheme="minorHAnsi"/>
                <w:sz w:val="16"/>
                <w:szCs w:val="16"/>
              </w:rPr>
              <w:t>coordinó con diversos actores,</w:t>
            </w:r>
            <w:r w:rsidRPr="00E44CD7">
              <w:rPr>
                <w:rFonts w:asciiTheme="minorHAnsi" w:eastAsiaTheme="minorEastAsia" w:hAnsiTheme="minorHAnsi" w:cstheme="minorHAnsi"/>
                <w:sz w:val="16"/>
                <w:szCs w:val="16"/>
              </w:rPr>
              <w:t xml:space="preserve"> lográndose acordar la elaboración de dos paquetes tecnológicos orientados a buenas prácticas agrícolas sostenibles para el cultivo de café y cacao en la Región San Martín, este diseño de paquetes forma parte del apoyo que se vienen brindando a</w:t>
            </w:r>
            <w:r w:rsidR="002801ED" w:rsidRPr="00E44CD7">
              <w:rPr>
                <w:rFonts w:asciiTheme="minorHAnsi" w:eastAsiaTheme="minorEastAsia" w:hAnsiTheme="minorHAnsi" w:cstheme="minorHAnsi"/>
                <w:sz w:val="16"/>
                <w:szCs w:val="16"/>
              </w:rPr>
              <w:t xml:space="preserve">l </w:t>
            </w:r>
            <w:r w:rsidRPr="00E44CD7">
              <w:rPr>
                <w:rFonts w:asciiTheme="minorHAnsi" w:eastAsiaTheme="minorEastAsia" w:hAnsiTheme="minorHAnsi" w:cstheme="minorHAnsi"/>
                <w:sz w:val="16"/>
                <w:szCs w:val="16"/>
              </w:rPr>
              <w:t xml:space="preserve">gobierno regional </w:t>
            </w:r>
            <w:r w:rsidR="002801ED" w:rsidRPr="00E44CD7">
              <w:rPr>
                <w:rFonts w:asciiTheme="minorHAnsi" w:eastAsiaTheme="minorEastAsia" w:hAnsiTheme="minorHAnsi" w:cstheme="minorHAnsi"/>
                <w:sz w:val="16"/>
                <w:szCs w:val="16"/>
              </w:rPr>
              <w:t xml:space="preserve">de San Martín, </w:t>
            </w:r>
            <w:r w:rsidRPr="00E44CD7">
              <w:rPr>
                <w:rFonts w:asciiTheme="minorHAnsi" w:eastAsiaTheme="minorEastAsia" w:hAnsiTheme="minorHAnsi" w:cstheme="minorHAnsi"/>
                <w:sz w:val="16"/>
                <w:szCs w:val="16"/>
              </w:rPr>
              <w:t>en la elaboración de</w:t>
            </w:r>
            <w:r w:rsidR="00C66167" w:rsidRPr="00C6616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Expedientes Técnicos</w:t>
            </w:r>
            <w:r w:rsidR="00EA693B" w:rsidRPr="00E44CD7">
              <w:rPr>
                <w:rFonts w:asciiTheme="minorHAnsi" w:eastAsiaTheme="minorEastAsia" w:hAnsiTheme="minorHAnsi" w:cstheme="minorHAnsi"/>
                <w:sz w:val="16"/>
                <w:szCs w:val="16"/>
              </w:rPr>
              <w:t xml:space="preserve"> de Proyectos de </w:t>
            </w:r>
            <w:r w:rsidR="00EA693B" w:rsidRPr="00E44CD7">
              <w:rPr>
                <w:rFonts w:asciiTheme="minorHAnsi" w:eastAsiaTheme="minorEastAsia" w:hAnsiTheme="minorHAnsi" w:cstheme="minorHAnsi"/>
                <w:sz w:val="16"/>
                <w:szCs w:val="16"/>
              </w:rPr>
              <w:lastRenderedPageBreak/>
              <w:t>Inversión Pública</w:t>
            </w:r>
            <w:r w:rsidRPr="00E44CD7">
              <w:rPr>
                <w:rFonts w:asciiTheme="minorHAnsi" w:eastAsiaTheme="minorEastAsia" w:hAnsiTheme="minorHAnsi" w:cstheme="minorHAnsi"/>
                <w:sz w:val="16"/>
                <w:szCs w:val="16"/>
              </w:rPr>
              <w:t>. Al cierre del 2025, se tenían en convocatoria estos servicios.</w:t>
            </w:r>
          </w:p>
          <w:p w14:paraId="6FC9B2D8" w14:textId="77777777" w:rsidR="006B0342" w:rsidRDefault="006B0342" w:rsidP="00F2112F">
            <w:pPr>
              <w:tabs>
                <w:tab w:val="num" w:pos="720"/>
              </w:tabs>
              <w:spacing w:after="0"/>
              <w:jc w:val="left"/>
              <w:rPr>
                <w:rFonts w:asciiTheme="minorHAnsi" w:eastAsiaTheme="minorEastAsia" w:hAnsiTheme="minorHAnsi" w:cstheme="minorHAnsi"/>
                <w:sz w:val="16"/>
                <w:szCs w:val="16"/>
              </w:rPr>
            </w:pPr>
          </w:p>
          <w:p w14:paraId="628A6D36" w14:textId="04A89CAB" w:rsidR="006B0342" w:rsidRPr="005A4F56" w:rsidRDefault="006B0342" w:rsidP="005A4F56">
            <w:pPr>
              <w:tabs>
                <w:tab w:val="num" w:pos="720"/>
              </w:tabs>
              <w:spacing w:after="0"/>
              <w:jc w:val="left"/>
              <w:rPr>
                <w:rFonts w:asciiTheme="minorHAnsi" w:hAnsiTheme="minorHAnsi" w:cstheme="minorHAnsi"/>
                <w:sz w:val="16"/>
                <w:szCs w:val="16"/>
              </w:rPr>
            </w:pPr>
            <w:r>
              <w:rPr>
                <w:rFonts w:asciiTheme="minorHAnsi" w:eastAsiaTheme="minorEastAsia" w:hAnsiTheme="minorHAnsi" w:cstheme="minorHAnsi"/>
                <w:sz w:val="16"/>
                <w:szCs w:val="16"/>
              </w:rPr>
              <w:t xml:space="preserve">Asimismo, se </w:t>
            </w:r>
            <w:r>
              <w:rPr>
                <w:rFonts w:asciiTheme="minorHAnsi" w:hAnsiTheme="minorHAnsi" w:cstheme="minorHAnsi"/>
                <w:sz w:val="16"/>
                <w:szCs w:val="16"/>
              </w:rPr>
              <w:t xml:space="preserve">avanzó con la implementación de aquellas </w:t>
            </w:r>
            <w:r w:rsidRPr="005A4F56">
              <w:rPr>
                <w:rFonts w:asciiTheme="minorHAnsi" w:hAnsiTheme="minorHAnsi" w:cstheme="minorHAnsi"/>
                <w:sz w:val="16"/>
                <w:szCs w:val="16"/>
              </w:rPr>
              <w:t>prácticas sostenibles que forman parte de los paquetes tecnológicos que el proyecto impuls</w:t>
            </w:r>
            <w:r w:rsidR="005A4F56" w:rsidRPr="005A4F56">
              <w:rPr>
                <w:rFonts w:asciiTheme="minorHAnsi" w:hAnsiTheme="minorHAnsi" w:cstheme="minorHAnsi"/>
                <w:sz w:val="16"/>
                <w:szCs w:val="16"/>
              </w:rPr>
              <w:t>a</w:t>
            </w:r>
            <w:r w:rsidR="005A4F56">
              <w:rPr>
                <w:rFonts w:asciiTheme="minorHAnsi" w:hAnsiTheme="minorHAnsi" w:cstheme="minorHAnsi"/>
                <w:sz w:val="16"/>
                <w:szCs w:val="16"/>
              </w:rPr>
              <w:t>:</w:t>
            </w:r>
            <w:r w:rsidR="005A4F56" w:rsidRPr="005A4F56">
              <w:rPr>
                <w:rFonts w:asciiTheme="minorHAnsi" w:hAnsiTheme="minorHAnsi" w:cstheme="minorHAnsi"/>
                <w:sz w:val="16"/>
                <w:szCs w:val="16"/>
              </w:rPr>
              <w:t xml:space="preserve"> </w:t>
            </w:r>
          </w:p>
          <w:p w14:paraId="738CA26E" w14:textId="157D2C57" w:rsidR="006B0342" w:rsidRPr="005A4F56" w:rsidRDefault="006B0342" w:rsidP="006B0342">
            <w:pPr>
              <w:tabs>
                <w:tab w:val="left" w:pos="4680"/>
              </w:tabs>
              <w:ind w:left="313"/>
              <w:rPr>
                <w:rFonts w:asciiTheme="minorHAnsi" w:hAnsiTheme="minorHAnsi" w:cstheme="minorHAnsi"/>
                <w:sz w:val="16"/>
                <w:szCs w:val="16"/>
              </w:rPr>
            </w:pPr>
            <w:r w:rsidRPr="005A4F56">
              <w:rPr>
                <w:rFonts w:asciiTheme="minorHAnsi" w:hAnsiTheme="minorHAnsi" w:cstheme="minorHAnsi"/>
                <w:sz w:val="16"/>
                <w:szCs w:val="16"/>
              </w:rPr>
              <w:t>Café: Cosecha y post cosecha de cafés especiales (Amazonas)</w:t>
            </w:r>
            <w:r w:rsidR="005A4F56" w:rsidRPr="005A4F56">
              <w:rPr>
                <w:rFonts w:asciiTheme="minorHAnsi" w:hAnsiTheme="minorHAnsi" w:cstheme="minorHAnsi"/>
                <w:sz w:val="16"/>
                <w:szCs w:val="16"/>
              </w:rPr>
              <w:t>.</w:t>
            </w:r>
          </w:p>
          <w:p w14:paraId="754052CA" w14:textId="7E1AC9DD" w:rsidR="006B0342" w:rsidRPr="00DE692F" w:rsidRDefault="006B0342" w:rsidP="006B0342">
            <w:pPr>
              <w:tabs>
                <w:tab w:val="left" w:pos="4680"/>
              </w:tabs>
              <w:ind w:left="313"/>
              <w:rPr>
                <w:rFonts w:asciiTheme="minorHAnsi" w:hAnsiTheme="minorHAnsi" w:cstheme="minorHAnsi"/>
                <w:sz w:val="16"/>
                <w:szCs w:val="16"/>
              </w:rPr>
            </w:pPr>
            <w:r w:rsidRPr="005A4F56">
              <w:rPr>
                <w:rFonts w:asciiTheme="minorHAnsi" w:hAnsiTheme="minorHAnsi" w:cstheme="minorHAnsi"/>
                <w:sz w:val="16"/>
                <w:szCs w:val="16"/>
              </w:rPr>
              <w:t>Cacao:</w:t>
            </w:r>
            <w:r w:rsidR="005A4F56" w:rsidRPr="005A4F56">
              <w:rPr>
                <w:rFonts w:asciiTheme="minorHAnsi" w:hAnsiTheme="minorHAnsi" w:cstheme="minorHAnsi"/>
                <w:sz w:val="16"/>
                <w:szCs w:val="16"/>
              </w:rPr>
              <w:t xml:space="preserve"> B</w:t>
            </w:r>
            <w:r w:rsidRPr="005A4F56">
              <w:rPr>
                <w:rFonts w:asciiTheme="minorHAnsi" w:hAnsiTheme="minorHAnsi" w:cstheme="minorHAnsi"/>
                <w:sz w:val="16"/>
                <w:szCs w:val="16"/>
              </w:rPr>
              <w:t>uenas prácticas agrícolas y manejo integral de sistemas productivos (San Martín, San Ignacio, Alto Amazonas con OSINFOR y SERFOR)</w:t>
            </w:r>
          </w:p>
          <w:p w14:paraId="7104DC75" w14:textId="2B7F3311" w:rsidR="006B0342" w:rsidRPr="00E44CD7" w:rsidRDefault="005A4F56" w:rsidP="00F2112F">
            <w:pPr>
              <w:tabs>
                <w:tab w:val="num" w:pos="720"/>
              </w:tabs>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En ese mismo sentido, durante el 2025, en coordinación con la ECA Chayunain se ha programado brindar asistencia técnica en manejo agroecológico de sistemas agroforestales en parcelas de cacao que se encuentran ubicadas en la zona de amortiguamiento de ésta ANP, esta AT iniciará en enero 2026.</w:t>
            </w:r>
          </w:p>
          <w:p w14:paraId="2CA2B417" w14:textId="77777777" w:rsidR="00F2112F" w:rsidRPr="00E44CD7" w:rsidRDefault="00F2112F" w:rsidP="00F2112F">
            <w:pPr>
              <w:tabs>
                <w:tab w:val="num" w:pos="720"/>
              </w:tabs>
              <w:spacing w:after="0"/>
              <w:jc w:val="left"/>
              <w:rPr>
                <w:rFonts w:asciiTheme="minorHAnsi" w:eastAsiaTheme="minorEastAsia" w:hAnsiTheme="minorHAnsi" w:cstheme="minorHAnsi"/>
                <w:sz w:val="16"/>
                <w:szCs w:val="16"/>
              </w:rPr>
            </w:pPr>
          </w:p>
          <w:p w14:paraId="3ADBF917" w14:textId="2E43A6C6" w:rsidR="00F2112F" w:rsidRPr="00E44CD7" w:rsidRDefault="00F2112F" w:rsidP="00F2112F">
            <w:pPr>
              <w:tabs>
                <w:tab w:val="num" w:pos="720"/>
              </w:tabs>
              <w:spacing w:after="0"/>
              <w:jc w:val="left"/>
              <w:rPr>
                <w:rFonts w:asciiTheme="minorHAnsi" w:eastAsiaTheme="minorEastAsia" w:hAnsiTheme="minorHAnsi" w:cstheme="minorHAnsi"/>
                <w:sz w:val="16"/>
                <w:szCs w:val="16"/>
              </w:rPr>
            </w:pPr>
          </w:p>
        </w:tc>
      </w:tr>
      <w:tr w:rsidR="009B1DCD" w:rsidRPr="00DE692F" w14:paraId="6E79E836" w14:textId="77777777" w:rsidTr="00D61877">
        <w:trPr>
          <w:trHeight w:val="300"/>
        </w:trPr>
        <w:tc>
          <w:tcPr>
            <w:tcW w:w="746" w:type="pct"/>
            <w:vMerge/>
            <w:vAlign w:val="center"/>
          </w:tcPr>
          <w:p w14:paraId="43EC70FE" w14:textId="77777777" w:rsidR="009B1DCD" w:rsidRPr="00DE692F" w:rsidRDefault="009B1DCD" w:rsidP="009B1DCD">
            <w:pPr>
              <w:spacing w:after="0"/>
              <w:rPr>
                <w:rFonts w:asciiTheme="majorHAnsi" w:hAnsiTheme="majorHAnsi" w:cstheme="majorHAnsi"/>
                <w:sz w:val="16"/>
                <w:szCs w:val="16"/>
              </w:rPr>
            </w:pPr>
          </w:p>
        </w:tc>
        <w:tc>
          <w:tcPr>
            <w:tcW w:w="555" w:type="pct"/>
            <w:vAlign w:val="center"/>
          </w:tcPr>
          <w:p w14:paraId="757228E5"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Indicador 10:</w:t>
            </w:r>
          </w:p>
          <w:p w14:paraId="36C7674C" w14:textId="3797C40A" w:rsidR="009B1DCD" w:rsidRPr="00DE692F" w:rsidRDefault="009B1DCD" w:rsidP="009B1DCD">
            <w:pPr>
              <w:spacing w:after="0"/>
              <w:rPr>
                <w:rFonts w:asciiTheme="majorHAnsi" w:eastAsiaTheme="minorEastAsia" w:hAnsiTheme="majorHAnsi" w:cstheme="majorHAnsi"/>
                <w:sz w:val="16"/>
                <w:szCs w:val="16"/>
              </w:rPr>
            </w:pPr>
            <w:r w:rsidRPr="00DE692F">
              <w:rPr>
                <w:rFonts w:asciiTheme="majorHAnsi" w:hAnsiTheme="majorHAnsi" w:cstheme="majorHAnsi"/>
                <w:color w:val="000000"/>
                <w:sz w:val="16"/>
                <w:szCs w:val="16"/>
              </w:rPr>
              <w:t>Número de estrategias implementadas para mejorar la asistencia técnica (AT) y los servicios de extensión, asegurando la sostenibilidad financiera y contribuyendo a los planes nacionales de acción de commodities, para una producción libre de deforestación, con elementos integrados de género e interculturalidad.</w:t>
            </w:r>
          </w:p>
        </w:tc>
        <w:tc>
          <w:tcPr>
            <w:tcW w:w="486" w:type="pct"/>
            <w:vAlign w:val="center"/>
          </w:tcPr>
          <w:p w14:paraId="0E45D389"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Servicios de asistencia técnica y extensión limitados.</w:t>
            </w:r>
          </w:p>
          <w:p w14:paraId="2E2CF60D" w14:textId="28D8E158"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Los Planes Nacionales de Café y Cacao existentes incluyen acciones estratégicas para mejorar los servicios de asistencia técnica. Los servicios de extensión carecen de sostenibilidad financiera.</w:t>
            </w:r>
          </w:p>
        </w:tc>
        <w:tc>
          <w:tcPr>
            <w:tcW w:w="580" w:type="pct"/>
            <w:vAlign w:val="center"/>
          </w:tcPr>
          <w:p w14:paraId="7686C2CB" w14:textId="77777777" w:rsidR="009B1DCD" w:rsidRPr="00DE692F" w:rsidRDefault="009B1DCD" w:rsidP="009B1DCD">
            <w:pPr>
              <w:shd w:val="clear" w:color="auto" w:fill="FFFFFF"/>
              <w:jc w:val="left"/>
              <w:rPr>
                <w:rFonts w:asciiTheme="minorHAnsi" w:hAnsiTheme="minorHAnsi" w:cstheme="minorHAnsi"/>
                <w:sz w:val="16"/>
                <w:szCs w:val="16"/>
              </w:rPr>
            </w:pPr>
            <w:r w:rsidRPr="00DE692F">
              <w:rPr>
                <w:rFonts w:asciiTheme="minorHAnsi" w:hAnsiTheme="minorHAnsi" w:cstheme="minorHAnsi"/>
                <w:sz w:val="16"/>
                <w:szCs w:val="16"/>
              </w:rPr>
              <w:t xml:space="preserve">Dos (02) estrategias diseñadas para mejorar la asistencia técnica (es decir, los servicios de extensión), y apoyar su sostenibilidad financiera, como aporte a los planes nacionales de acción sobre </w:t>
            </w:r>
            <w:r w:rsidRPr="00DE692F">
              <w:rPr>
                <w:rFonts w:asciiTheme="minorHAnsi" w:hAnsiTheme="minorHAnsi" w:cstheme="minorHAnsi"/>
                <w:color w:val="000000"/>
                <w:sz w:val="16"/>
                <w:szCs w:val="16"/>
              </w:rPr>
              <w:t>commodities, para una producción libre de deforestación</w:t>
            </w:r>
            <w:r w:rsidRPr="00DE692F">
              <w:rPr>
                <w:rFonts w:asciiTheme="minorHAnsi" w:hAnsiTheme="minorHAnsi" w:cstheme="minorHAnsi"/>
                <w:sz w:val="16"/>
                <w:szCs w:val="16"/>
              </w:rPr>
              <w:t>.</w:t>
            </w:r>
          </w:p>
          <w:p w14:paraId="2AEBDADC" w14:textId="77777777" w:rsidR="009B1DCD" w:rsidRPr="00DE692F" w:rsidRDefault="009B1DCD" w:rsidP="009B1DCD">
            <w:pPr>
              <w:shd w:val="clear" w:color="auto" w:fill="FFFFFF"/>
              <w:jc w:val="left"/>
              <w:rPr>
                <w:rFonts w:asciiTheme="minorHAnsi" w:hAnsiTheme="minorHAnsi" w:cstheme="minorHAnsi"/>
                <w:sz w:val="16"/>
                <w:szCs w:val="16"/>
              </w:rPr>
            </w:pPr>
          </w:p>
          <w:p w14:paraId="105A7A87" w14:textId="3538002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al indicador de nivel objetivo 3 sobre hectáreas de paisajes bajo prácticas mejoradas.</w:t>
            </w:r>
          </w:p>
        </w:tc>
        <w:tc>
          <w:tcPr>
            <w:tcW w:w="565" w:type="pct"/>
            <w:vAlign w:val="center"/>
          </w:tcPr>
          <w:p w14:paraId="406B27B8"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 xml:space="preserve">02 estrategias en implementación para mejorar </w:t>
            </w:r>
            <w:r w:rsidRPr="00DE692F">
              <w:rPr>
                <w:rFonts w:asciiTheme="minorHAnsi" w:hAnsiTheme="minorHAnsi" w:cstheme="minorHAnsi"/>
                <w:sz w:val="16"/>
                <w:szCs w:val="16"/>
              </w:rPr>
              <w:t xml:space="preserve">la asistencia técnica (es decir, los servicios de extensión), y apoyar la sostenibilidad financiera, como aporte a los planes nacionales de acción sobre </w:t>
            </w:r>
            <w:r w:rsidRPr="00DE692F">
              <w:rPr>
                <w:rFonts w:asciiTheme="minorHAnsi" w:hAnsiTheme="minorHAnsi" w:cstheme="minorHAnsi"/>
                <w:color w:val="000000"/>
                <w:sz w:val="16"/>
                <w:szCs w:val="16"/>
              </w:rPr>
              <w:t>commodities, para una producción libre de deforestación</w:t>
            </w:r>
            <w:r w:rsidRPr="00DE692F">
              <w:rPr>
                <w:rFonts w:asciiTheme="minorHAnsi" w:hAnsiTheme="minorHAnsi" w:cstheme="minorHAnsi"/>
                <w:sz w:val="16"/>
                <w:szCs w:val="16"/>
              </w:rPr>
              <w:t xml:space="preserve">. Se estima que el 50% del costo de la implementación de estos servicios de extensión se cubrirá mediante una combinación de mecanismos financieros y mayores </w:t>
            </w:r>
            <w:r w:rsidRPr="00DE692F">
              <w:rPr>
                <w:rFonts w:asciiTheme="minorHAnsi" w:hAnsiTheme="minorHAnsi" w:cstheme="minorHAnsi"/>
                <w:sz w:val="16"/>
                <w:szCs w:val="16"/>
              </w:rPr>
              <w:lastRenderedPageBreak/>
              <w:t>presupuestos públicos.</w:t>
            </w:r>
          </w:p>
          <w:p w14:paraId="69DF9D3A" w14:textId="77777777" w:rsidR="009B1DCD" w:rsidRPr="00DE692F" w:rsidRDefault="009B1DCD" w:rsidP="009B1DCD">
            <w:pPr>
              <w:shd w:val="clear" w:color="auto" w:fill="FFFFFF"/>
              <w:jc w:val="left"/>
              <w:rPr>
                <w:rFonts w:asciiTheme="minorHAnsi" w:hAnsiTheme="minorHAnsi" w:cstheme="minorHAnsi"/>
                <w:sz w:val="16"/>
                <w:szCs w:val="16"/>
              </w:rPr>
            </w:pPr>
          </w:p>
          <w:p w14:paraId="1DB3E4E0" w14:textId="429F9CAD"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al indicador de nivel objetivo 3 sobre hectáreas de paisajes bajo prácticas mejoradas.</w:t>
            </w:r>
          </w:p>
        </w:tc>
        <w:tc>
          <w:tcPr>
            <w:tcW w:w="484" w:type="pct"/>
            <w:vAlign w:val="center"/>
          </w:tcPr>
          <w:p w14:paraId="3823B4BD" w14:textId="7681566A"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0D41F5C9"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En progreso. </w:t>
            </w:r>
          </w:p>
          <w:p w14:paraId="367ED7D8" w14:textId="2B453C4C" w:rsidR="008962AA" w:rsidRPr="00E44CD7" w:rsidRDefault="002801ED" w:rsidP="008962AA">
            <w:pPr>
              <w:pStyle w:val="Default"/>
              <w:rPr>
                <w:rFonts w:asciiTheme="minorHAnsi" w:hAnsiTheme="minorHAnsi" w:cstheme="minorHAnsi"/>
                <w:sz w:val="16"/>
                <w:szCs w:val="16"/>
              </w:rPr>
            </w:pPr>
            <w:r w:rsidRPr="00E44CD7">
              <w:rPr>
                <w:rFonts w:asciiTheme="minorHAnsi" w:hAnsiTheme="minorHAnsi" w:cstheme="minorHAnsi"/>
                <w:sz w:val="16"/>
                <w:szCs w:val="16"/>
              </w:rPr>
              <w:t>0</w:t>
            </w:r>
            <w:r w:rsidR="008962AA" w:rsidRPr="00E44CD7">
              <w:rPr>
                <w:rFonts w:asciiTheme="minorHAnsi" w:hAnsiTheme="minorHAnsi" w:cstheme="minorHAnsi"/>
                <w:sz w:val="16"/>
                <w:szCs w:val="16"/>
              </w:rPr>
              <w:t xml:space="preserve"> </w:t>
            </w:r>
            <w:r w:rsidRPr="00E44CD7">
              <w:rPr>
                <w:rFonts w:asciiTheme="minorHAnsi" w:hAnsiTheme="minorHAnsi" w:cstheme="minorHAnsi"/>
                <w:sz w:val="16"/>
                <w:szCs w:val="16"/>
              </w:rPr>
              <w:t>e</w:t>
            </w:r>
            <w:r w:rsidR="008962AA" w:rsidRPr="00E44CD7">
              <w:rPr>
                <w:rFonts w:asciiTheme="minorHAnsi" w:hAnsiTheme="minorHAnsi" w:cstheme="minorHAnsi"/>
                <w:sz w:val="16"/>
                <w:szCs w:val="16"/>
              </w:rPr>
              <w:t>strategias</w:t>
            </w:r>
            <w:r w:rsidR="008021B2" w:rsidRPr="00E44CD7">
              <w:rPr>
                <w:rFonts w:asciiTheme="minorHAnsi" w:hAnsiTheme="minorHAnsi" w:cstheme="minorHAnsi"/>
                <w:sz w:val="16"/>
                <w:szCs w:val="16"/>
              </w:rPr>
              <w:t xml:space="preserve"> </w:t>
            </w:r>
            <w:r w:rsidR="00AF660A" w:rsidRPr="00E44CD7">
              <w:rPr>
                <w:rFonts w:asciiTheme="minorHAnsi" w:hAnsiTheme="minorHAnsi" w:cstheme="minorHAnsi"/>
                <w:sz w:val="16"/>
                <w:szCs w:val="16"/>
              </w:rPr>
              <w:t>implementada</w:t>
            </w:r>
            <w:r w:rsidR="00D53FB3" w:rsidRPr="00E44CD7">
              <w:rPr>
                <w:rFonts w:asciiTheme="minorHAnsi" w:hAnsiTheme="minorHAnsi" w:cstheme="minorHAnsi"/>
                <w:sz w:val="16"/>
                <w:szCs w:val="16"/>
              </w:rPr>
              <w:t>s</w:t>
            </w:r>
          </w:p>
          <w:p w14:paraId="5A1EADE6" w14:textId="7CA40166" w:rsidR="009B1DCD" w:rsidRPr="00E44CD7" w:rsidRDefault="008962AA"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 xml:space="preserve">Este indicador y resultado se alcanzará </w:t>
            </w:r>
            <w:r w:rsidR="007C5590">
              <w:rPr>
                <w:rFonts w:asciiTheme="minorHAnsi" w:hAnsiTheme="minorHAnsi" w:cstheme="minorHAnsi"/>
                <w:sz w:val="16"/>
                <w:szCs w:val="16"/>
              </w:rPr>
              <w:t>en el plazo esperado.</w:t>
            </w:r>
            <w:r w:rsidRPr="00E44CD7">
              <w:rPr>
                <w:rFonts w:asciiTheme="minorHAnsi" w:hAnsiTheme="minorHAnsi" w:cstheme="minorHAnsi"/>
                <w:sz w:val="16"/>
                <w:szCs w:val="16"/>
              </w:rPr>
              <w:t xml:space="preserve"> </w:t>
            </w:r>
          </w:p>
          <w:p w14:paraId="0A75E8C8" w14:textId="77777777" w:rsidR="00EA693B" w:rsidRPr="00E44CD7" w:rsidRDefault="00EA693B" w:rsidP="008962AA">
            <w:pPr>
              <w:spacing w:after="0"/>
              <w:jc w:val="left"/>
              <w:rPr>
                <w:rFonts w:asciiTheme="minorHAnsi" w:eastAsiaTheme="minorEastAsia" w:hAnsiTheme="minorHAnsi" w:cstheme="minorHAnsi"/>
                <w:sz w:val="16"/>
                <w:szCs w:val="16"/>
              </w:rPr>
            </w:pPr>
          </w:p>
          <w:p w14:paraId="48A7AEE5" w14:textId="44C99650" w:rsidR="00AF660A" w:rsidRPr="00E44CD7" w:rsidRDefault="00AF660A" w:rsidP="008962AA">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Para apoyar la mejora de la calidad y la sostenibilidad de la AT y los servicios de extensión, durante el 2025, se </w:t>
            </w:r>
            <w:r w:rsidR="004F4C07">
              <w:rPr>
                <w:rFonts w:asciiTheme="minorHAnsi" w:eastAsiaTheme="minorEastAsia" w:hAnsiTheme="minorHAnsi" w:cstheme="minorHAnsi"/>
                <w:sz w:val="16"/>
                <w:szCs w:val="16"/>
              </w:rPr>
              <w:t>tuvo</w:t>
            </w:r>
            <w:r w:rsidRPr="00E44CD7">
              <w:rPr>
                <w:rFonts w:asciiTheme="minorHAnsi" w:eastAsiaTheme="minorEastAsia" w:hAnsiTheme="minorHAnsi" w:cstheme="minorHAnsi"/>
                <w:sz w:val="16"/>
                <w:szCs w:val="16"/>
              </w:rPr>
              <w:t xml:space="preserve"> avances:</w:t>
            </w:r>
          </w:p>
          <w:p w14:paraId="7D393C58" w14:textId="77777777" w:rsidR="00AF660A" w:rsidRPr="005A4F56" w:rsidRDefault="00AF660A" w:rsidP="004C0B5E">
            <w:pPr>
              <w:pStyle w:val="Prrafodelista"/>
              <w:numPr>
                <w:ilvl w:val="0"/>
                <w:numId w:val="30"/>
              </w:numPr>
              <w:spacing w:after="0"/>
              <w:ind w:left="218" w:hanging="142"/>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En coordinación con MINCETUR se realizó un taller de cata de </w:t>
            </w:r>
            <w:r w:rsidRPr="005A4F56">
              <w:rPr>
                <w:rFonts w:asciiTheme="minorHAnsi" w:eastAsiaTheme="minorEastAsia" w:hAnsiTheme="minorHAnsi" w:cstheme="minorHAnsi"/>
                <w:sz w:val="16"/>
                <w:szCs w:val="16"/>
              </w:rPr>
              <w:t>café en Jaén y un taller de cata de cacao en Bagua.</w:t>
            </w:r>
          </w:p>
          <w:p w14:paraId="2DED47D6" w14:textId="4A52EC6A" w:rsidR="00AF660A" w:rsidRPr="005A4F56" w:rsidRDefault="00AF660A" w:rsidP="00AF660A">
            <w:pPr>
              <w:pStyle w:val="Prrafodelista"/>
              <w:numPr>
                <w:ilvl w:val="0"/>
                <w:numId w:val="30"/>
              </w:numPr>
              <w:spacing w:after="0"/>
              <w:ind w:left="218" w:hanging="142"/>
              <w:rPr>
                <w:rFonts w:asciiTheme="minorHAnsi" w:eastAsiaTheme="minorEastAsia" w:hAnsiTheme="minorHAnsi" w:cstheme="minorHAnsi"/>
                <w:sz w:val="16"/>
                <w:szCs w:val="16"/>
              </w:rPr>
            </w:pPr>
            <w:r w:rsidRPr="005A4F56">
              <w:rPr>
                <w:rFonts w:asciiTheme="minorHAnsi" w:eastAsiaTheme="minorEastAsia" w:hAnsiTheme="minorHAnsi" w:cstheme="minorHAnsi"/>
                <w:sz w:val="16"/>
                <w:szCs w:val="16"/>
              </w:rPr>
              <w:t>Se inició la elaboración del programa curricular del extensionista cafetalero de Cajamarca.</w:t>
            </w:r>
          </w:p>
          <w:p w14:paraId="28123B3D" w14:textId="77777777" w:rsidR="002801ED" w:rsidRPr="00E44CD7" w:rsidRDefault="002801ED" w:rsidP="00677FE4">
            <w:pPr>
              <w:spacing w:after="0"/>
              <w:ind w:left="76"/>
              <w:rPr>
                <w:rFonts w:asciiTheme="minorHAnsi" w:eastAsiaTheme="minorEastAsia" w:hAnsiTheme="minorHAnsi" w:cstheme="minorHAnsi"/>
                <w:sz w:val="16"/>
                <w:szCs w:val="16"/>
              </w:rPr>
            </w:pPr>
          </w:p>
          <w:p w14:paraId="47EA2327" w14:textId="4F131E53" w:rsidR="00CF0AC5" w:rsidRPr="00E44CD7" w:rsidRDefault="00677FE4" w:rsidP="002801ED">
            <w:pPr>
              <w:spacing w:after="0"/>
              <w:ind w:left="76"/>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Durante el 2026, s</w:t>
            </w:r>
            <w:r w:rsidR="008021B2" w:rsidRPr="00E44CD7">
              <w:rPr>
                <w:rFonts w:asciiTheme="minorHAnsi" w:eastAsiaTheme="minorEastAsia" w:hAnsiTheme="minorHAnsi" w:cstheme="minorHAnsi"/>
                <w:sz w:val="16"/>
                <w:szCs w:val="16"/>
              </w:rPr>
              <w:t>e plantea</w:t>
            </w:r>
            <w:r w:rsidR="002801ED" w:rsidRPr="00E44CD7">
              <w:rPr>
                <w:rFonts w:asciiTheme="minorHAnsi" w:eastAsiaTheme="minorEastAsia" w:hAnsiTheme="minorHAnsi" w:cstheme="minorHAnsi"/>
                <w:sz w:val="16"/>
                <w:szCs w:val="16"/>
              </w:rPr>
              <w:t xml:space="preserve"> continuar con estas actividades en coordinación con las mesas técnicas regionales.  </w:t>
            </w:r>
          </w:p>
          <w:p w14:paraId="1A478351" w14:textId="0A4E20CB" w:rsidR="00CF0AC5" w:rsidRPr="00E44CD7" w:rsidRDefault="00CF0AC5" w:rsidP="00CF0AC5">
            <w:pPr>
              <w:spacing w:after="0"/>
              <w:ind w:left="76"/>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Además, en el 2026 se apoyará</w:t>
            </w:r>
            <w:r w:rsidR="008021B2" w:rsidRPr="00E44CD7">
              <w:rPr>
                <w:rFonts w:asciiTheme="minorHAnsi" w:eastAsiaTheme="minorEastAsia" w:hAnsiTheme="minorHAnsi" w:cstheme="minorHAnsi"/>
                <w:sz w:val="16"/>
                <w:szCs w:val="16"/>
              </w:rPr>
              <w:t xml:space="preserve"> la aprobación de los Expedientes Técnicos de los proyectos de inversión de café y cacao en San Martín, a fin de que inicien la fase de ejecución en campo</w:t>
            </w:r>
            <w:r w:rsidR="002801ED" w:rsidRPr="00E44CD7">
              <w:rPr>
                <w:rFonts w:asciiTheme="minorHAnsi" w:eastAsiaTheme="minorEastAsia" w:hAnsiTheme="minorHAnsi" w:cstheme="minorHAnsi"/>
                <w:sz w:val="16"/>
                <w:szCs w:val="16"/>
              </w:rPr>
              <w:t xml:space="preserve"> y se concrete la asistencia técnica</w:t>
            </w:r>
            <w:r w:rsidR="008021B2" w:rsidRPr="00E44CD7">
              <w:rPr>
                <w:rFonts w:asciiTheme="minorHAnsi" w:eastAsiaTheme="minorEastAsia" w:hAnsiTheme="minorHAnsi" w:cstheme="minorHAnsi"/>
                <w:sz w:val="16"/>
                <w:szCs w:val="16"/>
              </w:rPr>
              <w:t xml:space="preserve">. </w:t>
            </w:r>
            <w:r w:rsidR="00A67B8D">
              <w:rPr>
                <w:rFonts w:asciiTheme="minorHAnsi" w:eastAsiaTheme="minorEastAsia" w:hAnsiTheme="minorHAnsi" w:cstheme="minorHAnsi"/>
                <w:sz w:val="16"/>
                <w:szCs w:val="16"/>
              </w:rPr>
              <w:t>También</w:t>
            </w:r>
            <w:r w:rsidR="008021B2" w:rsidRPr="00E44CD7">
              <w:rPr>
                <w:rFonts w:asciiTheme="minorHAnsi" w:eastAsiaTheme="minorEastAsia" w:hAnsiTheme="minorHAnsi" w:cstheme="minorHAnsi"/>
                <w:sz w:val="16"/>
                <w:szCs w:val="16"/>
              </w:rPr>
              <w:t xml:space="preserve">, se viene evaluando el apoyo a proyectos </w:t>
            </w:r>
            <w:r w:rsidR="002801ED" w:rsidRPr="00E44CD7">
              <w:rPr>
                <w:rFonts w:asciiTheme="minorHAnsi" w:eastAsiaTheme="minorEastAsia" w:hAnsiTheme="minorHAnsi" w:cstheme="minorHAnsi"/>
                <w:sz w:val="16"/>
                <w:szCs w:val="16"/>
              </w:rPr>
              <w:t xml:space="preserve">de inversión pública </w:t>
            </w:r>
            <w:r w:rsidR="008021B2" w:rsidRPr="00E44CD7">
              <w:rPr>
                <w:rFonts w:asciiTheme="minorHAnsi" w:eastAsiaTheme="minorEastAsia" w:hAnsiTheme="minorHAnsi" w:cstheme="minorHAnsi"/>
                <w:sz w:val="16"/>
                <w:szCs w:val="16"/>
              </w:rPr>
              <w:t>de cacao en Amazonas y Cajamarca</w:t>
            </w:r>
            <w:r w:rsidRPr="00E44CD7">
              <w:rPr>
                <w:rFonts w:asciiTheme="minorHAnsi" w:eastAsiaTheme="minorEastAsia" w:hAnsiTheme="minorHAnsi" w:cstheme="minorHAnsi"/>
                <w:sz w:val="16"/>
                <w:szCs w:val="16"/>
              </w:rPr>
              <w:t>, con este mismo objetivo.</w:t>
            </w:r>
          </w:p>
          <w:p w14:paraId="1FFFFDFC" w14:textId="77777777" w:rsidR="00CF0AC5" w:rsidRPr="00E44CD7" w:rsidRDefault="00CF0AC5" w:rsidP="00CF0AC5">
            <w:pPr>
              <w:spacing w:after="0"/>
              <w:ind w:left="76"/>
              <w:rPr>
                <w:rFonts w:asciiTheme="minorHAnsi" w:eastAsiaTheme="minorEastAsia" w:hAnsiTheme="minorHAnsi" w:cstheme="minorHAnsi"/>
                <w:sz w:val="16"/>
                <w:szCs w:val="16"/>
              </w:rPr>
            </w:pPr>
          </w:p>
          <w:p w14:paraId="7047CF8B" w14:textId="77777777" w:rsidR="00CA216D" w:rsidRDefault="00A67B8D" w:rsidP="00CA216D">
            <w:pPr>
              <w:spacing w:after="0"/>
              <w:ind w:left="76"/>
              <w:rPr>
                <w:rFonts w:asciiTheme="minorHAnsi" w:eastAsiaTheme="minorEastAsia" w:hAnsiTheme="minorHAnsi" w:cstheme="minorHAnsi"/>
                <w:sz w:val="16"/>
                <w:szCs w:val="16"/>
              </w:rPr>
            </w:pPr>
            <w:r>
              <w:rPr>
                <w:rFonts w:asciiTheme="minorHAnsi" w:eastAsiaTheme="minorEastAsia" w:hAnsiTheme="minorHAnsi" w:cstheme="minorHAnsi"/>
                <w:sz w:val="16"/>
                <w:szCs w:val="16"/>
              </w:rPr>
              <w:t>P</w:t>
            </w:r>
            <w:r w:rsidR="00AF660A" w:rsidRPr="00E44CD7">
              <w:rPr>
                <w:rFonts w:asciiTheme="minorHAnsi" w:eastAsiaTheme="minorEastAsia" w:hAnsiTheme="minorHAnsi" w:cstheme="minorHAnsi"/>
                <w:sz w:val="16"/>
                <w:szCs w:val="16"/>
              </w:rPr>
              <w:t>ara e</w:t>
            </w:r>
            <w:r w:rsidR="00CF0AC5" w:rsidRPr="00E44CD7">
              <w:rPr>
                <w:rFonts w:asciiTheme="minorHAnsi" w:eastAsiaTheme="minorEastAsia" w:hAnsiTheme="minorHAnsi" w:cstheme="minorHAnsi"/>
                <w:sz w:val="16"/>
                <w:szCs w:val="16"/>
              </w:rPr>
              <w:t>l 2026 se ha programado iniciar la a</w:t>
            </w:r>
            <w:r w:rsidR="00EA693B" w:rsidRPr="00EA693B">
              <w:rPr>
                <w:rFonts w:asciiTheme="minorHAnsi" w:eastAsiaTheme="minorEastAsia" w:hAnsiTheme="minorHAnsi" w:cstheme="minorHAnsi"/>
                <w:sz w:val="16"/>
                <w:szCs w:val="16"/>
              </w:rPr>
              <w:t>sistencia técnica</w:t>
            </w:r>
            <w:r w:rsidR="00CF0AC5" w:rsidRPr="00E44CD7">
              <w:rPr>
                <w:rFonts w:asciiTheme="minorHAnsi" w:eastAsiaTheme="minorEastAsia" w:hAnsiTheme="minorHAnsi" w:cstheme="minorHAnsi"/>
                <w:sz w:val="16"/>
                <w:szCs w:val="16"/>
              </w:rPr>
              <w:t xml:space="preserve"> a</w:t>
            </w:r>
            <w:r w:rsidR="00EA693B" w:rsidRPr="00EA693B">
              <w:rPr>
                <w:rFonts w:asciiTheme="minorHAnsi" w:eastAsiaTheme="minorEastAsia" w:hAnsiTheme="minorHAnsi" w:cstheme="minorHAnsi"/>
                <w:sz w:val="16"/>
                <w:szCs w:val="16"/>
              </w:rPr>
              <w:t xml:space="preserve"> productoras/es y</w:t>
            </w:r>
            <w:r w:rsidR="00CF0AC5" w:rsidRPr="00E44CD7">
              <w:rPr>
                <w:rFonts w:asciiTheme="minorHAnsi" w:eastAsiaTheme="minorEastAsia" w:hAnsiTheme="minorHAnsi" w:cstheme="minorHAnsi"/>
                <w:sz w:val="16"/>
                <w:szCs w:val="16"/>
              </w:rPr>
              <w:t xml:space="preserve"> la instalación de</w:t>
            </w:r>
            <w:r w:rsidR="00EA693B" w:rsidRPr="00EA693B">
              <w:rPr>
                <w:rFonts w:asciiTheme="minorHAnsi" w:eastAsiaTheme="minorEastAsia" w:hAnsiTheme="minorHAnsi" w:cstheme="minorHAnsi"/>
                <w:sz w:val="16"/>
                <w:szCs w:val="16"/>
              </w:rPr>
              <w:t xml:space="preserve"> parcelas demostrativas</w:t>
            </w:r>
            <w:r w:rsidR="00CF0AC5" w:rsidRPr="00E44CD7">
              <w:rPr>
                <w:rFonts w:asciiTheme="minorHAnsi" w:eastAsiaTheme="minorEastAsia" w:hAnsiTheme="minorHAnsi" w:cstheme="minorHAnsi"/>
                <w:sz w:val="16"/>
                <w:szCs w:val="16"/>
              </w:rPr>
              <w:t xml:space="preserve">, para apoyar la sostenibilidad de los CUSAF otorgados. </w:t>
            </w:r>
            <w:r w:rsidR="00EA693B" w:rsidRPr="00EA693B">
              <w:rPr>
                <w:rFonts w:asciiTheme="minorHAnsi" w:eastAsiaTheme="minorEastAsia" w:hAnsiTheme="minorHAnsi" w:cstheme="minorHAnsi"/>
                <w:sz w:val="16"/>
                <w:szCs w:val="16"/>
              </w:rPr>
              <w:t xml:space="preserve"> </w:t>
            </w:r>
            <w:r w:rsidR="00CF0AC5" w:rsidRPr="00E44CD7">
              <w:rPr>
                <w:rFonts w:asciiTheme="minorHAnsi" w:eastAsiaTheme="minorEastAsia" w:hAnsiTheme="minorHAnsi" w:cstheme="minorHAnsi"/>
                <w:sz w:val="16"/>
                <w:szCs w:val="16"/>
              </w:rPr>
              <w:t xml:space="preserve"> </w:t>
            </w:r>
            <w:r w:rsidR="00FD226A" w:rsidRPr="00E44CD7">
              <w:rPr>
                <w:rFonts w:asciiTheme="minorHAnsi" w:eastAsiaTheme="minorEastAsia" w:hAnsiTheme="minorHAnsi" w:cstheme="minorHAnsi"/>
                <w:sz w:val="16"/>
                <w:szCs w:val="16"/>
              </w:rPr>
              <w:t xml:space="preserve">Así como un </w:t>
            </w:r>
            <w:r w:rsidR="00FD226A" w:rsidRPr="00E44CD7">
              <w:rPr>
                <w:rFonts w:asciiTheme="minorHAnsi" w:eastAsiaTheme="minorEastAsia" w:hAnsiTheme="minorHAnsi" w:cstheme="minorHAnsi"/>
                <w:sz w:val="16"/>
                <w:szCs w:val="16"/>
              </w:rPr>
              <w:lastRenderedPageBreak/>
              <w:t xml:space="preserve">programa piloto para capacitar a </w:t>
            </w:r>
            <w:r w:rsidR="00FD226A" w:rsidRPr="00FD226A">
              <w:rPr>
                <w:rFonts w:asciiTheme="minorHAnsi" w:eastAsiaTheme="minorEastAsia" w:hAnsiTheme="minorHAnsi" w:cstheme="minorHAnsi"/>
                <w:sz w:val="16"/>
                <w:szCs w:val="16"/>
              </w:rPr>
              <w:t>formuladores de planes de negocio</w:t>
            </w:r>
            <w:r w:rsidR="00FD226A" w:rsidRPr="00E44CD7">
              <w:rPr>
                <w:rFonts w:asciiTheme="minorHAnsi" w:eastAsiaTheme="minorEastAsia" w:hAnsiTheme="minorHAnsi" w:cstheme="minorHAnsi"/>
                <w:sz w:val="16"/>
                <w:szCs w:val="16"/>
              </w:rPr>
              <w:t xml:space="preserve"> en el marco del Pr</w:t>
            </w:r>
            <w:r w:rsidR="00FD226A" w:rsidRPr="00FD226A">
              <w:rPr>
                <w:rFonts w:asciiTheme="minorHAnsi" w:eastAsiaTheme="minorEastAsia" w:hAnsiTheme="minorHAnsi" w:cstheme="minorHAnsi"/>
                <w:sz w:val="16"/>
                <w:szCs w:val="16"/>
              </w:rPr>
              <w:t xml:space="preserve">ocompite </w:t>
            </w:r>
            <w:r w:rsidR="00FD226A" w:rsidRPr="00E44CD7">
              <w:rPr>
                <w:rFonts w:asciiTheme="minorHAnsi" w:eastAsiaTheme="minorEastAsia" w:hAnsiTheme="minorHAnsi" w:cstheme="minorHAnsi"/>
                <w:sz w:val="16"/>
                <w:szCs w:val="16"/>
              </w:rPr>
              <w:t>en San Martín</w:t>
            </w:r>
            <w:r w:rsidR="00350364" w:rsidRPr="00E44CD7">
              <w:rPr>
                <w:rFonts w:asciiTheme="minorHAnsi" w:eastAsiaTheme="minorEastAsia" w:hAnsiTheme="minorHAnsi" w:cstheme="minorHAnsi"/>
                <w:sz w:val="16"/>
                <w:szCs w:val="16"/>
              </w:rPr>
              <w:t xml:space="preserve">, y finalmente, en alianza con DEVIDA y Organismos públicos adscritos, así como organizaciones de productores, para capacitar a técnicos de campo en </w:t>
            </w:r>
            <w:r w:rsidR="00FD226A" w:rsidRPr="00E44CD7">
              <w:rPr>
                <w:rFonts w:asciiTheme="minorHAnsi" w:eastAsiaTheme="minorEastAsia" w:hAnsiTheme="minorHAnsi" w:cstheme="minorHAnsi"/>
                <w:sz w:val="16"/>
                <w:szCs w:val="16"/>
              </w:rPr>
              <w:t>SAF, agricultura regenerativa y</w:t>
            </w:r>
            <w:r w:rsidR="00350364" w:rsidRPr="00E44CD7">
              <w:rPr>
                <w:rFonts w:asciiTheme="minorHAnsi" w:eastAsiaTheme="minorEastAsia" w:hAnsiTheme="minorHAnsi" w:cstheme="minorHAnsi"/>
                <w:sz w:val="16"/>
                <w:szCs w:val="16"/>
              </w:rPr>
              <w:t xml:space="preserve"> temas complementarios como la normatividad </w:t>
            </w:r>
            <w:r w:rsidR="00FD226A" w:rsidRPr="00E44CD7">
              <w:rPr>
                <w:rFonts w:asciiTheme="minorHAnsi" w:eastAsiaTheme="minorEastAsia" w:hAnsiTheme="minorHAnsi" w:cstheme="minorHAnsi"/>
                <w:sz w:val="16"/>
                <w:szCs w:val="16"/>
              </w:rPr>
              <w:t>EUDR</w:t>
            </w:r>
            <w:r w:rsidR="00350364" w:rsidRPr="00E44CD7">
              <w:rPr>
                <w:rFonts w:asciiTheme="minorHAnsi" w:eastAsiaTheme="minorEastAsia" w:hAnsiTheme="minorHAnsi" w:cstheme="minorHAnsi"/>
                <w:sz w:val="16"/>
                <w:szCs w:val="16"/>
              </w:rPr>
              <w:t>.</w:t>
            </w:r>
          </w:p>
          <w:p w14:paraId="5314FD90" w14:textId="32AB4A22" w:rsidR="008A6630" w:rsidRPr="00E44CD7" w:rsidRDefault="007C5590" w:rsidP="00CA216D">
            <w:pPr>
              <w:spacing w:after="0"/>
              <w:ind w:left="76"/>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Todo esto contribuirá al diseño e implementación posterior </w:t>
            </w:r>
            <w:r w:rsidR="006F1E2C">
              <w:rPr>
                <w:rFonts w:asciiTheme="minorHAnsi" w:eastAsiaTheme="minorEastAsia" w:hAnsiTheme="minorHAnsi" w:cstheme="minorHAnsi"/>
                <w:sz w:val="16"/>
                <w:szCs w:val="16"/>
              </w:rPr>
              <w:t xml:space="preserve">de </w:t>
            </w:r>
            <w:r w:rsidR="006F1E2C" w:rsidRPr="00DE692F">
              <w:rPr>
                <w:rFonts w:asciiTheme="minorHAnsi" w:hAnsiTheme="minorHAnsi" w:cstheme="minorHAnsi"/>
                <w:sz w:val="16"/>
                <w:szCs w:val="16"/>
              </w:rPr>
              <w:t>estrategias</w:t>
            </w:r>
            <w:r w:rsidRPr="00DE692F">
              <w:rPr>
                <w:rFonts w:asciiTheme="minorHAnsi" w:hAnsiTheme="minorHAnsi" w:cstheme="minorHAnsi"/>
                <w:sz w:val="16"/>
                <w:szCs w:val="16"/>
              </w:rPr>
              <w:t xml:space="preserve"> para mejorar la asistencia técnica </w:t>
            </w:r>
            <w:r>
              <w:rPr>
                <w:rFonts w:asciiTheme="minorHAnsi" w:hAnsiTheme="minorHAnsi" w:cstheme="minorHAnsi"/>
                <w:sz w:val="16"/>
                <w:szCs w:val="16"/>
              </w:rPr>
              <w:t xml:space="preserve">y </w:t>
            </w:r>
            <w:r w:rsidRPr="00DE692F">
              <w:rPr>
                <w:rFonts w:asciiTheme="minorHAnsi" w:hAnsiTheme="minorHAnsi" w:cstheme="minorHAnsi"/>
                <w:sz w:val="16"/>
                <w:szCs w:val="16"/>
              </w:rPr>
              <w:t xml:space="preserve">apoyar </w:t>
            </w:r>
            <w:r>
              <w:rPr>
                <w:rFonts w:asciiTheme="minorHAnsi" w:hAnsiTheme="minorHAnsi" w:cstheme="minorHAnsi"/>
                <w:sz w:val="16"/>
                <w:szCs w:val="16"/>
              </w:rPr>
              <w:t>la</w:t>
            </w:r>
            <w:r w:rsidRPr="00DE692F">
              <w:rPr>
                <w:rFonts w:asciiTheme="minorHAnsi" w:hAnsiTheme="minorHAnsi" w:cstheme="minorHAnsi"/>
                <w:sz w:val="16"/>
                <w:szCs w:val="16"/>
              </w:rPr>
              <w:t xml:space="preserve"> sostenibilidad financiera</w:t>
            </w:r>
            <w:r>
              <w:rPr>
                <w:rFonts w:asciiTheme="minorHAnsi" w:hAnsiTheme="minorHAnsi" w:cstheme="minorHAnsi"/>
                <w:sz w:val="16"/>
                <w:szCs w:val="16"/>
              </w:rPr>
              <w:t xml:space="preserve"> de los planes nacionales de principales commodities, </w:t>
            </w:r>
            <w:r w:rsidRPr="00DE692F">
              <w:rPr>
                <w:rFonts w:asciiTheme="minorHAnsi" w:hAnsiTheme="minorHAnsi" w:cstheme="minorHAnsi"/>
                <w:color w:val="000000"/>
                <w:sz w:val="16"/>
                <w:szCs w:val="16"/>
              </w:rPr>
              <w:t>para una producción libre de deforestación</w:t>
            </w:r>
            <w:r w:rsidRPr="00DE692F">
              <w:rPr>
                <w:rFonts w:asciiTheme="minorHAnsi" w:hAnsiTheme="minorHAnsi" w:cstheme="minorHAnsi"/>
                <w:sz w:val="16"/>
                <w:szCs w:val="16"/>
              </w:rPr>
              <w:t>.</w:t>
            </w:r>
          </w:p>
        </w:tc>
      </w:tr>
      <w:tr w:rsidR="009B1DCD" w:rsidRPr="00DE692F" w14:paraId="12F3B07E" w14:textId="77777777" w:rsidTr="00D61877">
        <w:trPr>
          <w:trHeight w:val="300"/>
        </w:trPr>
        <w:tc>
          <w:tcPr>
            <w:tcW w:w="746" w:type="pct"/>
            <w:vMerge w:val="restart"/>
            <w:vAlign w:val="center"/>
          </w:tcPr>
          <w:p w14:paraId="5EB08353" w14:textId="6C9C1F8A"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lastRenderedPageBreak/>
              <w:t xml:space="preserve">Componente 2: </w:t>
            </w:r>
            <w:r w:rsidRPr="00DE692F">
              <w:rPr>
                <w:rFonts w:asciiTheme="majorHAnsi" w:hAnsiTheme="majorHAnsi" w:cstheme="majorHAnsi"/>
                <w:b/>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bCs/>
                <w:sz w:val="16"/>
                <w:szCs w:val="16"/>
              </w:rPr>
              <w:t>Promoción de commodities libres de deforestación y sostenibles y cadenas de valor responsables.</w:t>
            </w:r>
          </w:p>
          <w:p w14:paraId="51E59420" w14:textId="0074664D" w:rsidR="009B1DCD" w:rsidRPr="00DE692F" w:rsidRDefault="009B1DCD" w:rsidP="009B1DCD">
            <w:pPr>
              <w:spacing w:after="0"/>
              <w:rPr>
                <w:rFonts w:asciiTheme="majorHAnsi" w:hAnsiTheme="majorHAnsi" w:cstheme="majorHAnsi"/>
                <w:sz w:val="16"/>
                <w:szCs w:val="16"/>
              </w:rPr>
            </w:pPr>
            <w:r w:rsidRPr="00DE692F">
              <w:rPr>
                <w:rFonts w:asciiTheme="majorHAnsi" w:hAnsiTheme="majorHAnsi" w:cstheme="majorHAnsi"/>
                <w:b/>
                <w:bCs/>
                <w:sz w:val="16"/>
                <w:szCs w:val="16"/>
              </w:rPr>
              <w:t xml:space="preserve">Resultado 4: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Pequeños agricultores reciben mayores beneficios netos como resultado de que comerciantes y consumidores compran más commodities libres de deforestación (CLD)</w:t>
            </w:r>
          </w:p>
        </w:tc>
        <w:tc>
          <w:tcPr>
            <w:tcW w:w="555" w:type="pct"/>
            <w:vAlign w:val="center"/>
          </w:tcPr>
          <w:p w14:paraId="6C59875D" w14:textId="5D489A16" w:rsidR="009B1DCD" w:rsidRPr="00DE692F" w:rsidRDefault="009B1DCD" w:rsidP="009B1DCD">
            <w:pPr>
              <w:pBdr>
                <w:top w:val="nil"/>
                <w:left w:val="nil"/>
                <w:bottom w:val="nil"/>
                <w:right w:val="nil"/>
                <w:between w:val="nil"/>
              </w:pBdr>
              <w:jc w:val="left"/>
              <w:rPr>
                <w:rFonts w:asciiTheme="majorHAnsi" w:hAnsiTheme="majorHAnsi" w:cstheme="majorHAnsi"/>
                <w:sz w:val="16"/>
                <w:szCs w:val="16"/>
              </w:rPr>
            </w:pPr>
            <w:r w:rsidRPr="00DE692F">
              <w:rPr>
                <w:rFonts w:asciiTheme="majorHAnsi" w:hAnsiTheme="majorHAnsi" w:cstheme="majorHAnsi"/>
                <w:b/>
                <w:color w:val="000000"/>
                <w:sz w:val="16"/>
                <w:szCs w:val="16"/>
              </w:rPr>
              <w:t>Indicador 11:</w:t>
            </w:r>
          </w:p>
          <w:p w14:paraId="6F706ACF" w14:textId="41AAF811" w:rsidR="009B1DCD" w:rsidRPr="00DE692F" w:rsidRDefault="009B1DCD" w:rsidP="009B1DCD">
            <w:pPr>
              <w:spacing w:after="0"/>
              <w:rPr>
                <w:rFonts w:asciiTheme="majorHAnsi" w:eastAsiaTheme="minorEastAsia" w:hAnsiTheme="majorHAnsi" w:cstheme="majorHAnsi"/>
                <w:sz w:val="16"/>
                <w:szCs w:val="16"/>
              </w:rPr>
            </w:pPr>
            <w:r w:rsidRPr="00DE692F">
              <w:rPr>
                <w:rFonts w:asciiTheme="majorHAnsi" w:hAnsiTheme="majorHAnsi" w:cstheme="majorHAnsi"/>
                <w:sz w:val="16"/>
                <w:szCs w:val="16"/>
              </w:rPr>
              <w:t>Número de planes de negocios para pequeños y medianos productores, agrupados en organizaciones de productores (comités, asociaciones y cooperativas), que incluyen el uso de paquetes tecnológicos CLD.</w:t>
            </w:r>
          </w:p>
        </w:tc>
        <w:tc>
          <w:tcPr>
            <w:tcW w:w="486" w:type="pct"/>
            <w:vAlign w:val="center"/>
          </w:tcPr>
          <w:p w14:paraId="4EF48FC3"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0</w:t>
            </w:r>
          </w:p>
          <w:p w14:paraId="46BE8993" w14:textId="173C0CA6"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Los pequeños productores no asociados rara vez conocen sus costos de producción (fijos y variables), sus beneficios netos o su rentabilidad. Las asociaciones y cooperativas tienen mejores conocimientos. La industria de la palma aceitera utiliza buenos métodos de contabilidad de costos.</w:t>
            </w:r>
          </w:p>
        </w:tc>
        <w:tc>
          <w:tcPr>
            <w:tcW w:w="580" w:type="pct"/>
            <w:vAlign w:val="center"/>
          </w:tcPr>
          <w:p w14:paraId="08583D06"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sz w:val="16"/>
                <w:szCs w:val="16"/>
              </w:rPr>
            </w:pPr>
            <w:r w:rsidRPr="00DE692F">
              <w:rPr>
                <w:rFonts w:asciiTheme="minorHAnsi" w:hAnsiTheme="minorHAnsi" w:cstheme="minorHAnsi"/>
                <w:sz w:val="16"/>
                <w:szCs w:val="16"/>
              </w:rPr>
              <w:t>Tres (03) planes de negocios con todos los costos elaborados para pequeños y medianos productores asociados en organizaciones de productores (comités, asociaciones y cooperativas). Estos planes incorporan el uso de paquetes de tecnología CLD y apuntan a incrementar la productividad de las parcelas de los productores objetivo en al menos un 5%.</w:t>
            </w:r>
          </w:p>
          <w:p w14:paraId="3C29D40A"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sz w:val="16"/>
                <w:szCs w:val="16"/>
              </w:rPr>
            </w:pPr>
          </w:p>
          <w:p w14:paraId="16B0A858" w14:textId="2BB85AB3"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 los indicadores de nivel objetivo 2 y 3.</w:t>
            </w:r>
          </w:p>
        </w:tc>
        <w:tc>
          <w:tcPr>
            <w:tcW w:w="565" w:type="pct"/>
            <w:vAlign w:val="center"/>
          </w:tcPr>
          <w:p w14:paraId="5A7C616A"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Diez (10) planes de negocios con todos los costos elaborados para pequeños y medianos productores asociados en organizaciones de productores (comités, asociaciones y cooperativas). Estos planes incorporan paquetes de tecnología CLD y tienen como objetivo aumentar la productividad de las parcelas de los productores objetivo en al menos un 20%.</w:t>
            </w:r>
          </w:p>
          <w:p w14:paraId="70B1F7EC" w14:textId="77777777" w:rsidR="009B1DCD" w:rsidRPr="00DE692F" w:rsidRDefault="009B1DCD" w:rsidP="009B1DCD">
            <w:pPr>
              <w:shd w:val="clear" w:color="auto" w:fill="FFFFFF"/>
              <w:jc w:val="left"/>
              <w:rPr>
                <w:rFonts w:asciiTheme="minorHAnsi" w:hAnsiTheme="minorHAnsi" w:cstheme="minorHAnsi"/>
                <w:sz w:val="16"/>
                <w:szCs w:val="16"/>
              </w:rPr>
            </w:pPr>
          </w:p>
          <w:p w14:paraId="19A5B257" w14:textId="7680FF75"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 los indicadores de nivel objetivo 2 y 3.</w:t>
            </w:r>
          </w:p>
        </w:tc>
        <w:tc>
          <w:tcPr>
            <w:tcW w:w="484" w:type="pct"/>
            <w:vAlign w:val="center"/>
          </w:tcPr>
          <w:p w14:paraId="1236E694" w14:textId="5ADD170B"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49AD21ED"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En progreso. </w:t>
            </w:r>
          </w:p>
          <w:p w14:paraId="11FB5BD7" w14:textId="1DF7223A"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0 planes de </w:t>
            </w:r>
            <w:r w:rsidRPr="00E44CD7">
              <w:rPr>
                <w:rFonts w:asciiTheme="minorHAnsi" w:hAnsiTheme="minorHAnsi" w:cstheme="minorHAnsi"/>
                <w:sz w:val="16"/>
                <w:szCs w:val="16"/>
              </w:rPr>
              <w:t>negocio</w:t>
            </w:r>
            <w:r w:rsidR="00D53FB3" w:rsidRPr="00E44CD7">
              <w:rPr>
                <w:rFonts w:asciiTheme="minorHAnsi" w:hAnsiTheme="minorHAnsi" w:cstheme="minorHAnsi"/>
                <w:sz w:val="16"/>
                <w:szCs w:val="16"/>
              </w:rPr>
              <w:t xml:space="preserve"> </w:t>
            </w:r>
            <w:r w:rsidRPr="00E44CD7">
              <w:rPr>
                <w:rFonts w:asciiTheme="minorHAnsi" w:hAnsiTheme="minorHAnsi" w:cstheme="minorHAnsi"/>
                <w:sz w:val="16"/>
                <w:szCs w:val="16"/>
              </w:rPr>
              <w:t xml:space="preserve">  </w:t>
            </w:r>
          </w:p>
          <w:p w14:paraId="33F04BD5" w14:textId="65164153" w:rsidR="009B1DCD" w:rsidRPr="00E44CD7" w:rsidRDefault="008962AA"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Este indicador y resultado se alcanzará en el plazo</w:t>
            </w:r>
            <w:r w:rsidR="007C5590">
              <w:rPr>
                <w:rFonts w:asciiTheme="minorHAnsi" w:hAnsiTheme="minorHAnsi" w:cstheme="minorHAnsi"/>
                <w:sz w:val="16"/>
                <w:szCs w:val="16"/>
              </w:rPr>
              <w:t xml:space="preserve"> esperado</w:t>
            </w:r>
            <w:r w:rsidRPr="00E44CD7">
              <w:rPr>
                <w:rFonts w:asciiTheme="minorHAnsi" w:hAnsiTheme="minorHAnsi" w:cstheme="minorHAnsi"/>
                <w:sz w:val="16"/>
                <w:szCs w:val="16"/>
              </w:rPr>
              <w:t xml:space="preserve">. </w:t>
            </w:r>
          </w:p>
          <w:p w14:paraId="6291C143" w14:textId="77777777" w:rsidR="00D53FB3" w:rsidRPr="00E44CD7" w:rsidRDefault="00D53FB3" w:rsidP="008962AA">
            <w:pPr>
              <w:spacing w:after="0"/>
              <w:jc w:val="left"/>
              <w:rPr>
                <w:rFonts w:asciiTheme="minorHAnsi" w:eastAsiaTheme="minorEastAsia" w:hAnsiTheme="minorHAnsi" w:cstheme="minorHAnsi"/>
                <w:sz w:val="16"/>
                <w:szCs w:val="16"/>
              </w:rPr>
            </w:pPr>
          </w:p>
          <w:p w14:paraId="118E94CE" w14:textId="618CFBE0" w:rsidR="00D53FB3" w:rsidRPr="00E44CD7" w:rsidRDefault="00672983" w:rsidP="008962AA">
            <w:pPr>
              <w:spacing w:after="0"/>
              <w:jc w:val="left"/>
              <w:rPr>
                <w:rFonts w:asciiTheme="minorHAnsi" w:eastAsiaTheme="minorEastAsia" w:hAnsiTheme="minorHAnsi" w:cstheme="minorHAnsi"/>
                <w:sz w:val="16"/>
                <w:szCs w:val="16"/>
              </w:rPr>
            </w:pPr>
            <w:r>
              <w:rPr>
                <w:rFonts w:asciiTheme="minorHAnsi" w:eastAsiaTheme="minorEastAsia" w:hAnsiTheme="minorHAnsi" w:cstheme="minorHAnsi"/>
                <w:sz w:val="16"/>
                <w:szCs w:val="16"/>
              </w:rPr>
              <w:t>Hasta el momento, s</w:t>
            </w:r>
            <w:r w:rsidR="00D53FB3" w:rsidRPr="00E44CD7">
              <w:rPr>
                <w:rFonts w:asciiTheme="minorHAnsi" w:eastAsiaTheme="minorEastAsia" w:hAnsiTheme="minorHAnsi" w:cstheme="minorHAnsi"/>
                <w:sz w:val="16"/>
                <w:szCs w:val="16"/>
              </w:rPr>
              <w:t xml:space="preserve">e ha recogido información de manera directa sobre las principales brechas de productores </w:t>
            </w:r>
            <w:r w:rsidR="00EB7FFC">
              <w:rPr>
                <w:rFonts w:asciiTheme="minorHAnsi" w:eastAsiaTheme="minorEastAsia" w:hAnsiTheme="minorHAnsi" w:cstheme="minorHAnsi"/>
                <w:sz w:val="16"/>
                <w:szCs w:val="16"/>
              </w:rPr>
              <w:t xml:space="preserve">y productoras </w:t>
            </w:r>
            <w:r w:rsidR="00D53FB3" w:rsidRPr="00E44CD7">
              <w:rPr>
                <w:rFonts w:asciiTheme="minorHAnsi" w:eastAsiaTheme="minorEastAsia" w:hAnsiTheme="minorHAnsi" w:cstheme="minorHAnsi"/>
                <w:sz w:val="16"/>
                <w:szCs w:val="16"/>
              </w:rPr>
              <w:t>para incrementar la productividad de sus parcelas</w:t>
            </w:r>
            <w:r w:rsidR="00B64AAE" w:rsidRPr="00E44CD7">
              <w:rPr>
                <w:rFonts w:asciiTheme="minorHAnsi" w:eastAsiaTheme="minorEastAsia" w:hAnsiTheme="minorHAnsi" w:cstheme="minorHAnsi"/>
                <w:sz w:val="16"/>
                <w:szCs w:val="16"/>
              </w:rPr>
              <w:t xml:space="preserve"> y</w:t>
            </w:r>
            <w:r w:rsidR="00D53FB3" w:rsidRPr="00E44CD7">
              <w:rPr>
                <w:rFonts w:asciiTheme="minorHAnsi" w:eastAsiaTheme="minorEastAsia" w:hAnsiTheme="minorHAnsi" w:cstheme="minorHAnsi"/>
                <w:sz w:val="16"/>
                <w:szCs w:val="16"/>
              </w:rPr>
              <w:t xml:space="preserve"> acceder a paquetes tecnológicos que apoyen la libre deforestación y la sostenibilidad. Esta información se </w:t>
            </w:r>
            <w:r w:rsidR="00B64AAE" w:rsidRPr="00E44CD7">
              <w:rPr>
                <w:rFonts w:asciiTheme="minorHAnsi" w:eastAsiaTheme="minorEastAsia" w:hAnsiTheme="minorHAnsi" w:cstheme="minorHAnsi"/>
                <w:sz w:val="16"/>
                <w:szCs w:val="16"/>
              </w:rPr>
              <w:t>recogió</w:t>
            </w:r>
            <w:r w:rsidR="00D53FB3" w:rsidRPr="00E44CD7">
              <w:rPr>
                <w:rFonts w:asciiTheme="minorHAnsi" w:eastAsiaTheme="minorEastAsia" w:hAnsiTheme="minorHAnsi" w:cstheme="minorHAnsi"/>
                <w:sz w:val="16"/>
                <w:szCs w:val="16"/>
              </w:rPr>
              <w:t xml:space="preserve">, a través de la línea base, y también en coordinación con las organizaciones de productores, y los espacios de diálogo como las mesas técnicas regionales </w:t>
            </w:r>
            <w:r w:rsidR="00D53FB3" w:rsidRPr="00E44CD7">
              <w:rPr>
                <w:rFonts w:asciiTheme="minorHAnsi" w:eastAsiaTheme="minorEastAsia" w:hAnsiTheme="minorHAnsi" w:cstheme="minorHAnsi"/>
                <w:sz w:val="16"/>
                <w:szCs w:val="16"/>
              </w:rPr>
              <w:t xml:space="preserve">o a nivel nacional como la APPCACAO. Del mismo modo, se espera afinar esta información con el servicio de caracterización </w:t>
            </w:r>
            <w:r w:rsidR="004D345D" w:rsidRPr="00E44CD7">
              <w:rPr>
                <w:rFonts w:asciiTheme="minorHAnsi" w:eastAsiaTheme="minorEastAsia" w:hAnsiTheme="minorHAnsi" w:cstheme="minorHAnsi"/>
                <w:sz w:val="16"/>
                <w:szCs w:val="16"/>
              </w:rPr>
              <w:t>que fue adjudicado en</w:t>
            </w:r>
            <w:r w:rsidR="00D53FB3" w:rsidRPr="00E44CD7">
              <w:rPr>
                <w:rFonts w:asciiTheme="minorHAnsi" w:eastAsiaTheme="minorEastAsia" w:hAnsiTheme="minorHAnsi" w:cstheme="minorHAnsi"/>
                <w:sz w:val="16"/>
                <w:szCs w:val="16"/>
              </w:rPr>
              <w:t xml:space="preserve"> diciembre 2025. </w:t>
            </w:r>
          </w:p>
          <w:p w14:paraId="5F386E7E" w14:textId="6BFA98C6" w:rsidR="004D0BEE" w:rsidRPr="00E44CD7" w:rsidRDefault="00D53FB3" w:rsidP="00D53FB3">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Por ello, </w:t>
            </w:r>
            <w:r w:rsidR="004D345D" w:rsidRPr="00E44CD7">
              <w:rPr>
                <w:rFonts w:asciiTheme="minorHAnsi" w:eastAsiaTheme="minorEastAsia" w:hAnsiTheme="minorHAnsi" w:cstheme="minorHAnsi"/>
                <w:sz w:val="16"/>
                <w:szCs w:val="16"/>
              </w:rPr>
              <w:t xml:space="preserve">con base a la información con la que se cuenta, en </w:t>
            </w:r>
            <w:r w:rsidRPr="00E44CD7">
              <w:rPr>
                <w:rFonts w:asciiTheme="minorHAnsi" w:eastAsiaTheme="minorEastAsia" w:hAnsiTheme="minorHAnsi" w:cstheme="minorHAnsi"/>
                <w:sz w:val="16"/>
                <w:szCs w:val="16"/>
              </w:rPr>
              <w:t xml:space="preserve">diciembre, </w:t>
            </w:r>
            <w:r w:rsidR="004D345D" w:rsidRPr="00E44CD7">
              <w:rPr>
                <w:rFonts w:asciiTheme="minorHAnsi" w:eastAsiaTheme="minorEastAsia" w:hAnsiTheme="minorHAnsi" w:cstheme="minorHAnsi"/>
                <w:sz w:val="16"/>
                <w:szCs w:val="16"/>
              </w:rPr>
              <w:t>fue iniciado</w:t>
            </w:r>
            <w:r w:rsidRPr="00E44CD7">
              <w:rPr>
                <w:rFonts w:asciiTheme="minorHAnsi" w:eastAsiaTheme="minorEastAsia" w:hAnsiTheme="minorHAnsi" w:cstheme="minorHAnsi"/>
                <w:sz w:val="16"/>
                <w:szCs w:val="16"/>
              </w:rPr>
              <w:t xml:space="preserve"> el </w:t>
            </w:r>
            <w:r w:rsidR="004D0BEE" w:rsidRPr="00E44CD7">
              <w:rPr>
                <w:rFonts w:asciiTheme="minorHAnsi" w:eastAsiaTheme="minorEastAsia" w:hAnsiTheme="minorHAnsi" w:cstheme="minorHAnsi"/>
                <w:sz w:val="16"/>
                <w:szCs w:val="16"/>
              </w:rPr>
              <w:t xml:space="preserve">servicio </w:t>
            </w:r>
            <w:r w:rsidR="00CE23E1" w:rsidRPr="00E44CD7">
              <w:rPr>
                <w:rFonts w:asciiTheme="minorHAnsi" w:eastAsiaTheme="minorEastAsia" w:hAnsiTheme="minorHAnsi" w:cstheme="minorHAnsi"/>
                <w:sz w:val="16"/>
                <w:szCs w:val="16"/>
              </w:rPr>
              <w:t>de diseño</w:t>
            </w:r>
            <w:r w:rsidR="004D0BEE" w:rsidRPr="00E44CD7">
              <w:rPr>
                <w:rFonts w:asciiTheme="minorHAnsi" w:eastAsiaTheme="minorEastAsia" w:hAnsiTheme="minorHAnsi" w:cstheme="minorHAnsi"/>
                <w:sz w:val="16"/>
                <w:szCs w:val="16"/>
              </w:rPr>
              <w:t xml:space="preserve"> de convocatorias públicas bajo la modalidad Low Value Grant (LVG) y Responsible Party Agreement (RPA) del Proyecto FOLUR, para la elaboración de las bases y formatos </w:t>
            </w:r>
            <w:r w:rsidR="00B64AAE" w:rsidRPr="00E44CD7">
              <w:rPr>
                <w:rFonts w:asciiTheme="minorHAnsi" w:eastAsiaTheme="minorEastAsia" w:hAnsiTheme="minorHAnsi" w:cstheme="minorHAnsi"/>
                <w:sz w:val="16"/>
                <w:szCs w:val="16"/>
              </w:rPr>
              <w:t>d</w:t>
            </w:r>
            <w:r w:rsidR="004D0BEE" w:rsidRPr="00E44CD7">
              <w:rPr>
                <w:rFonts w:asciiTheme="minorHAnsi" w:eastAsiaTheme="minorEastAsia" w:hAnsiTheme="minorHAnsi" w:cstheme="minorHAnsi"/>
                <w:sz w:val="16"/>
                <w:szCs w:val="16"/>
              </w:rPr>
              <w:t>el fondo concursable que se lanzará en el año 2026</w:t>
            </w:r>
            <w:r w:rsidR="00B64AAE" w:rsidRPr="00E44CD7">
              <w:rPr>
                <w:rFonts w:asciiTheme="minorHAnsi" w:eastAsiaTheme="minorEastAsia" w:hAnsiTheme="minorHAnsi" w:cstheme="minorHAnsi"/>
                <w:sz w:val="16"/>
                <w:szCs w:val="16"/>
              </w:rPr>
              <w:t>.</w:t>
            </w:r>
          </w:p>
        </w:tc>
      </w:tr>
      <w:tr w:rsidR="009B1DCD" w:rsidRPr="00DE692F" w14:paraId="76890FA7" w14:textId="77777777" w:rsidTr="00D61877">
        <w:trPr>
          <w:trHeight w:val="300"/>
        </w:trPr>
        <w:tc>
          <w:tcPr>
            <w:tcW w:w="746" w:type="pct"/>
            <w:vMerge/>
            <w:vAlign w:val="center"/>
          </w:tcPr>
          <w:p w14:paraId="2954F050" w14:textId="77777777" w:rsidR="009B1DCD" w:rsidRPr="00DE692F" w:rsidRDefault="009B1DCD" w:rsidP="009B1DCD">
            <w:pPr>
              <w:spacing w:after="0"/>
              <w:rPr>
                <w:rFonts w:asciiTheme="majorHAnsi" w:hAnsiTheme="majorHAnsi" w:cstheme="majorHAnsi"/>
                <w:sz w:val="16"/>
                <w:szCs w:val="16"/>
              </w:rPr>
            </w:pPr>
          </w:p>
        </w:tc>
        <w:tc>
          <w:tcPr>
            <w:tcW w:w="555" w:type="pct"/>
            <w:vAlign w:val="center"/>
          </w:tcPr>
          <w:p w14:paraId="18CBCF77"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Indicador 12:</w:t>
            </w:r>
          </w:p>
          <w:p w14:paraId="3A93E316" w14:textId="4101883A"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sz w:val="16"/>
                <w:szCs w:val="16"/>
              </w:rPr>
            </w:pPr>
            <w:r w:rsidRPr="00DE692F">
              <w:rPr>
                <w:rFonts w:asciiTheme="majorHAnsi" w:hAnsiTheme="majorHAnsi" w:cstheme="majorHAnsi"/>
                <w:sz w:val="16"/>
                <w:szCs w:val="16"/>
              </w:rPr>
              <w:t xml:space="preserve">Número de estrategias financieras implementadas a nivel de paisaje para </w:t>
            </w:r>
            <w:r w:rsidRPr="00DE692F">
              <w:rPr>
                <w:rFonts w:asciiTheme="majorHAnsi" w:hAnsiTheme="majorHAnsi" w:cstheme="majorHAnsi"/>
                <w:sz w:val="16"/>
                <w:szCs w:val="16"/>
              </w:rPr>
              <w:lastRenderedPageBreak/>
              <w:t>promover el financiamiento diversificado y accesible (por ejemplo, créditos, garantías), con un enfoque de género. Estas estrategias incluyen una cartera de inversiones en oportunidades de CLD disponibles para instituciones financieras, compradores e inversores que apoyan la producción de CLD.</w:t>
            </w:r>
          </w:p>
        </w:tc>
        <w:tc>
          <w:tcPr>
            <w:tcW w:w="486" w:type="pct"/>
            <w:vAlign w:val="center"/>
          </w:tcPr>
          <w:p w14:paraId="567B9B68" w14:textId="4485DF54"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lastRenderedPageBreak/>
              <w:t xml:space="preserve">Hay varios proyectos relacionados y agencias gubernamentales que implementan </w:t>
            </w:r>
            <w:r w:rsidRPr="00DE692F">
              <w:rPr>
                <w:rFonts w:asciiTheme="majorHAnsi" w:hAnsiTheme="majorHAnsi" w:cstheme="majorHAnsi"/>
                <w:color w:val="000000"/>
                <w:sz w:val="16"/>
                <w:szCs w:val="16"/>
              </w:rPr>
              <w:lastRenderedPageBreak/>
              <w:t>proyectos relacionados con commodities; sin embargo, no se están desarrollando estrategias financieras a nivel de paisaje para CLD. Proyectos como GEF SPL, NAMA y Alianza Cacao, se están enfocando en paquetes técnicos y financieros para commodities sostenibles. El Proyecto GEF SPL está implementando valoraciones económicas de commodities.</w:t>
            </w:r>
          </w:p>
        </w:tc>
        <w:tc>
          <w:tcPr>
            <w:tcW w:w="580" w:type="pct"/>
            <w:vAlign w:val="center"/>
          </w:tcPr>
          <w:p w14:paraId="77362DFA"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Una (01) estrategia financiera a nivel de paisaje diseñada para promover el financiamiento diversificado y </w:t>
            </w:r>
            <w:r w:rsidRPr="00DE692F">
              <w:rPr>
                <w:rFonts w:asciiTheme="minorHAnsi" w:hAnsiTheme="minorHAnsi" w:cstheme="minorHAnsi"/>
                <w:color w:val="000000"/>
                <w:sz w:val="16"/>
                <w:szCs w:val="16"/>
              </w:rPr>
              <w:lastRenderedPageBreak/>
              <w:t>accesible (por ejemplo, créditos, garantías), con un enfoque de género, incluyendo una cartera de inversiones en oportunidades de CLD.</w:t>
            </w:r>
          </w:p>
          <w:p w14:paraId="748EC77A" w14:textId="77777777" w:rsidR="009B1DCD" w:rsidRPr="00DE692F" w:rsidRDefault="009B1DCD" w:rsidP="009B1DCD">
            <w:pPr>
              <w:jc w:val="left"/>
              <w:rPr>
                <w:rFonts w:asciiTheme="minorHAnsi" w:hAnsiTheme="minorHAnsi" w:cstheme="minorHAnsi"/>
                <w:color w:val="000000"/>
                <w:sz w:val="16"/>
                <w:szCs w:val="16"/>
              </w:rPr>
            </w:pPr>
          </w:p>
          <w:p w14:paraId="248796AC"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t>Esta meta contribuye al indicador de nivel objetivo 3 sobre hectáreas de paisajes bajo prácticas mejoradas.</w:t>
            </w:r>
          </w:p>
          <w:p w14:paraId="00AC0800" w14:textId="77777777" w:rsidR="009B1DCD" w:rsidRPr="00DE692F" w:rsidRDefault="009B1DCD" w:rsidP="009B1DCD">
            <w:pPr>
              <w:jc w:val="left"/>
              <w:rPr>
                <w:rFonts w:asciiTheme="minorHAnsi" w:hAnsiTheme="minorHAnsi" w:cstheme="minorHAnsi"/>
                <w:sz w:val="16"/>
                <w:szCs w:val="16"/>
              </w:rPr>
            </w:pPr>
          </w:p>
          <w:p w14:paraId="5F05CB82" w14:textId="77777777" w:rsidR="009B1DCD" w:rsidRPr="00DE692F" w:rsidRDefault="009B1DCD" w:rsidP="009B1DCD">
            <w:pPr>
              <w:spacing w:after="0"/>
              <w:jc w:val="left"/>
              <w:rPr>
                <w:rFonts w:asciiTheme="minorHAnsi" w:eastAsiaTheme="minorEastAsia" w:hAnsiTheme="minorHAnsi" w:cstheme="minorHAnsi"/>
                <w:sz w:val="16"/>
                <w:szCs w:val="16"/>
              </w:rPr>
            </w:pPr>
          </w:p>
        </w:tc>
        <w:tc>
          <w:tcPr>
            <w:tcW w:w="565" w:type="pct"/>
            <w:vAlign w:val="center"/>
          </w:tcPr>
          <w:p w14:paraId="62BB8E5D"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Una (01) estrategia financiera a nivel de paisaje implementada para promover el financiamiento diversificado y </w:t>
            </w:r>
            <w:r w:rsidRPr="00DE692F">
              <w:rPr>
                <w:rFonts w:asciiTheme="minorHAnsi" w:hAnsiTheme="minorHAnsi" w:cstheme="minorHAnsi"/>
                <w:color w:val="000000"/>
                <w:sz w:val="16"/>
                <w:szCs w:val="16"/>
              </w:rPr>
              <w:lastRenderedPageBreak/>
              <w:t xml:space="preserve">accesible (por ejemplo, créditos, garantías), con enfoque de género. La </w:t>
            </w:r>
            <w:r w:rsidRPr="00DE692F">
              <w:rPr>
                <w:rFonts w:asciiTheme="minorHAnsi" w:hAnsiTheme="minorHAnsi" w:cstheme="minorHAnsi"/>
                <w:sz w:val="16"/>
                <w:szCs w:val="16"/>
              </w:rPr>
              <w:t>estrategia incluye una cartera de inversiones en oportunidades de CLD disponibles para instituciones financieras, compradores e inversores que apoyan la producción de CLD.</w:t>
            </w:r>
          </w:p>
          <w:p w14:paraId="50515FA0" w14:textId="77777777" w:rsidR="009B1DCD" w:rsidRPr="00DE692F" w:rsidRDefault="009B1DCD" w:rsidP="009B1DCD">
            <w:pPr>
              <w:pBdr>
                <w:top w:val="nil"/>
                <w:left w:val="nil"/>
                <w:bottom w:val="nil"/>
                <w:right w:val="nil"/>
                <w:between w:val="nil"/>
              </w:pBdr>
              <w:jc w:val="left"/>
              <w:rPr>
                <w:rFonts w:asciiTheme="minorHAnsi" w:hAnsiTheme="minorHAnsi" w:cstheme="minorHAnsi"/>
                <w:sz w:val="16"/>
                <w:szCs w:val="16"/>
              </w:rPr>
            </w:pPr>
          </w:p>
          <w:p w14:paraId="0CBDAE00" w14:textId="5CCE5A42"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al indicador de nivel objetivo 3 sobre hectáreas de paisajes bajo prácticas mejoradas.</w:t>
            </w:r>
          </w:p>
        </w:tc>
        <w:tc>
          <w:tcPr>
            <w:tcW w:w="484" w:type="pct"/>
            <w:vAlign w:val="center"/>
          </w:tcPr>
          <w:p w14:paraId="7C5D1530" w14:textId="6EC9E89F"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66DC53B8"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En progreso. </w:t>
            </w:r>
          </w:p>
          <w:p w14:paraId="2D84BAB9" w14:textId="520CB2D9"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0 estrategia</w:t>
            </w:r>
            <w:r w:rsidR="00583CA6" w:rsidRPr="00E44CD7">
              <w:rPr>
                <w:rFonts w:asciiTheme="minorHAnsi" w:hAnsiTheme="minorHAnsi" w:cstheme="minorHAnsi"/>
                <w:sz w:val="16"/>
                <w:szCs w:val="16"/>
              </w:rPr>
              <w:t xml:space="preserve"> financier</w:t>
            </w:r>
            <w:r w:rsidR="004D345D" w:rsidRPr="00E44CD7">
              <w:rPr>
                <w:rFonts w:asciiTheme="minorHAnsi" w:hAnsiTheme="minorHAnsi" w:cstheme="minorHAnsi"/>
                <w:sz w:val="16"/>
                <w:szCs w:val="16"/>
              </w:rPr>
              <w:t>a implementada</w:t>
            </w:r>
          </w:p>
          <w:p w14:paraId="07AABF91" w14:textId="78A7A348" w:rsidR="009B1DCD" w:rsidRPr="005A4F56" w:rsidRDefault="008962AA"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 xml:space="preserve">Este </w:t>
            </w:r>
            <w:r w:rsidRPr="005A4F56">
              <w:rPr>
                <w:rFonts w:asciiTheme="minorHAnsi" w:hAnsiTheme="minorHAnsi" w:cstheme="minorHAnsi"/>
                <w:sz w:val="16"/>
                <w:szCs w:val="16"/>
              </w:rPr>
              <w:t xml:space="preserve">indicador y resultado se alcanzará </w:t>
            </w:r>
            <w:r w:rsidR="00523630">
              <w:rPr>
                <w:rFonts w:asciiTheme="minorHAnsi" w:hAnsiTheme="minorHAnsi" w:cstheme="minorHAnsi"/>
                <w:sz w:val="16"/>
                <w:szCs w:val="16"/>
              </w:rPr>
              <w:t>en el plazo esperado</w:t>
            </w:r>
            <w:r w:rsidRPr="005A4F56">
              <w:rPr>
                <w:rFonts w:asciiTheme="minorHAnsi" w:hAnsiTheme="minorHAnsi" w:cstheme="minorHAnsi"/>
                <w:sz w:val="16"/>
                <w:szCs w:val="16"/>
              </w:rPr>
              <w:t xml:space="preserve">. </w:t>
            </w:r>
          </w:p>
          <w:p w14:paraId="09E81B61" w14:textId="1FF8A44B" w:rsidR="00C9271D" w:rsidRPr="00E44CD7" w:rsidRDefault="00C9271D" w:rsidP="008962AA">
            <w:pPr>
              <w:spacing w:after="0"/>
              <w:jc w:val="left"/>
              <w:rPr>
                <w:rFonts w:asciiTheme="minorHAnsi" w:eastAsiaTheme="minorEastAsia" w:hAnsiTheme="minorHAnsi" w:cstheme="minorHAnsi"/>
                <w:sz w:val="16"/>
                <w:szCs w:val="16"/>
              </w:rPr>
            </w:pPr>
            <w:r w:rsidRPr="005A4F56">
              <w:rPr>
                <w:rFonts w:asciiTheme="minorHAnsi" w:eastAsiaTheme="minorEastAsia" w:hAnsiTheme="minorHAnsi" w:cstheme="minorHAnsi"/>
                <w:sz w:val="16"/>
                <w:szCs w:val="16"/>
              </w:rPr>
              <w:t xml:space="preserve">Durante el 2025, se </w:t>
            </w:r>
            <w:r w:rsidR="004E38F5">
              <w:rPr>
                <w:rFonts w:asciiTheme="minorHAnsi" w:eastAsiaTheme="minorEastAsia" w:hAnsiTheme="minorHAnsi" w:cstheme="minorHAnsi"/>
                <w:sz w:val="16"/>
                <w:szCs w:val="16"/>
              </w:rPr>
              <w:t>dio inicio a</w:t>
            </w:r>
            <w:r w:rsidRPr="005A4F56">
              <w:rPr>
                <w:rFonts w:asciiTheme="minorHAnsi" w:eastAsiaTheme="minorEastAsia" w:hAnsiTheme="minorHAnsi" w:cstheme="minorHAnsi"/>
                <w:sz w:val="16"/>
                <w:szCs w:val="16"/>
              </w:rPr>
              <w:t xml:space="preserve"> tres </w:t>
            </w:r>
            <w:r w:rsidR="006B0342" w:rsidRPr="005A4F56">
              <w:rPr>
                <w:rFonts w:asciiTheme="minorHAnsi" w:eastAsiaTheme="minorEastAsia" w:hAnsiTheme="minorHAnsi" w:cstheme="minorHAnsi"/>
                <w:sz w:val="16"/>
                <w:szCs w:val="16"/>
              </w:rPr>
              <w:t>acciones</w:t>
            </w:r>
            <w:r w:rsidRPr="005A4F56">
              <w:rPr>
                <w:rFonts w:asciiTheme="minorHAnsi" w:eastAsiaTheme="minorEastAsia" w:hAnsiTheme="minorHAnsi" w:cstheme="minorHAnsi"/>
                <w:sz w:val="16"/>
                <w:szCs w:val="16"/>
              </w:rPr>
              <w:t xml:space="preserve"> </w:t>
            </w:r>
            <w:r w:rsidR="00EE7A89">
              <w:rPr>
                <w:rFonts w:asciiTheme="minorHAnsi" w:eastAsiaTheme="minorEastAsia" w:hAnsiTheme="minorHAnsi" w:cstheme="minorHAnsi"/>
                <w:sz w:val="16"/>
                <w:szCs w:val="16"/>
              </w:rPr>
              <w:t xml:space="preserve">que pueden derivar </w:t>
            </w:r>
            <w:r w:rsidR="007850C5">
              <w:rPr>
                <w:rFonts w:asciiTheme="minorHAnsi" w:eastAsiaTheme="minorEastAsia" w:hAnsiTheme="minorHAnsi" w:cstheme="minorHAnsi"/>
                <w:sz w:val="16"/>
                <w:szCs w:val="16"/>
              </w:rPr>
              <w:t>en la</w:t>
            </w:r>
            <w:r w:rsidR="00EE7A89">
              <w:rPr>
                <w:rFonts w:asciiTheme="minorHAnsi" w:eastAsiaTheme="minorEastAsia" w:hAnsiTheme="minorHAnsi" w:cstheme="minorHAnsi"/>
                <w:sz w:val="16"/>
                <w:szCs w:val="16"/>
              </w:rPr>
              <w:t xml:space="preserve"> </w:t>
            </w:r>
            <w:r w:rsidR="006B0342" w:rsidRPr="005A4F56">
              <w:rPr>
                <w:rFonts w:asciiTheme="minorHAnsi" w:eastAsiaTheme="minorEastAsia" w:hAnsiTheme="minorHAnsi" w:cstheme="minorHAnsi"/>
                <w:sz w:val="16"/>
                <w:szCs w:val="16"/>
              </w:rPr>
              <w:t xml:space="preserve">estrategia </w:t>
            </w:r>
            <w:r w:rsidRPr="005A4F56">
              <w:rPr>
                <w:rFonts w:asciiTheme="minorHAnsi" w:eastAsiaTheme="minorEastAsia" w:hAnsiTheme="minorHAnsi" w:cstheme="minorHAnsi"/>
                <w:sz w:val="16"/>
                <w:szCs w:val="16"/>
              </w:rPr>
              <w:t>para promover el financiamiento</w:t>
            </w:r>
            <w:r w:rsidRPr="00E44CD7">
              <w:rPr>
                <w:rFonts w:asciiTheme="minorHAnsi" w:eastAsiaTheme="minorEastAsia" w:hAnsiTheme="minorHAnsi" w:cstheme="minorHAnsi"/>
                <w:sz w:val="16"/>
                <w:szCs w:val="16"/>
              </w:rPr>
              <w:t>, dos de las cuales son lideradas por el Ministerio del Ambiente:</w:t>
            </w:r>
          </w:p>
          <w:p w14:paraId="3536B750" w14:textId="7BA5455C" w:rsidR="00C9271D" w:rsidRPr="00E44CD7" w:rsidRDefault="00C9271D" w:rsidP="00C9271D">
            <w:pPr>
              <w:pStyle w:val="Prrafodelista"/>
              <w:numPr>
                <w:ilvl w:val="0"/>
                <w:numId w:val="35"/>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lastRenderedPageBreak/>
              <w:t>Programa de Alistamiento</w:t>
            </w:r>
            <w:r w:rsidR="00906F34" w:rsidRPr="00E44CD7">
              <w:rPr>
                <w:rFonts w:asciiTheme="minorHAnsi" w:eastAsiaTheme="minorEastAsia" w:hAnsiTheme="minorHAnsi" w:cstheme="minorHAnsi"/>
                <w:sz w:val="16"/>
                <w:szCs w:val="16"/>
              </w:rPr>
              <w:t xml:space="preserve"> del MINAM, 07 organizaciones de productores de café y cacao culminaron el Programa de Alistamiento en el cual participaron 16 </w:t>
            </w:r>
            <w:r w:rsidR="00906F34" w:rsidRPr="00E44CD7">
              <w:rPr>
                <w:rFonts w:asciiTheme="minorHAnsi" w:eastAsiaTheme="minorEastAsia" w:hAnsiTheme="minorHAnsi" w:cstheme="minorHAnsi"/>
                <w:sz w:val="16"/>
                <w:szCs w:val="16"/>
              </w:rPr>
              <w:t>fondos de inversión</w:t>
            </w:r>
            <w:r w:rsidR="00FD226A" w:rsidRPr="00E44CD7">
              <w:rPr>
                <w:rFonts w:asciiTheme="minorHAnsi" w:eastAsiaTheme="minorEastAsia" w:hAnsiTheme="minorHAnsi" w:cstheme="minorHAnsi"/>
                <w:sz w:val="16"/>
                <w:szCs w:val="16"/>
              </w:rPr>
              <w:t xml:space="preserve">. Además, se realiza el seguimiento para que logren la inversión de impacto esperada.  </w:t>
            </w:r>
          </w:p>
          <w:p w14:paraId="33AFAB4E" w14:textId="38AB77BD" w:rsidR="00961957" w:rsidRPr="00E44CD7" w:rsidRDefault="00961957" w:rsidP="00961957">
            <w:pPr>
              <w:pStyle w:val="Prrafodelista"/>
              <w:numPr>
                <w:ilvl w:val="0"/>
                <w:numId w:val="35"/>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Programa para Bionegocios</w:t>
            </w:r>
            <w:r w:rsidR="00FD226A" w:rsidRPr="00E44CD7">
              <w:rPr>
                <w:rFonts w:asciiTheme="minorHAnsi" w:eastAsiaTheme="minorEastAsia" w:hAnsiTheme="minorHAnsi" w:cstheme="minorHAnsi"/>
                <w:sz w:val="16"/>
                <w:szCs w:val="16"/>
              </w:rPr>
              <w:t xml:space="preserve"> del MINAM, se ha coordinado para complementar esta iniciativa con asistencia técnica durante el 2026 en San Ignacio y Amazonas, para ampliar el alcance del Programa.</w:t>
            </w:r>
          </w:p>
          <w:p w14:paraId="00EE3F43" w14:textId="2A6DEA39" w:rsidR="00906F34" w:rsidRPr="00E44CD7" w:rsidRDefault="00906F34" w:rsidP="00444C67">
            <w:pPr>
              <w:pStyle w:val="Prrafodelista"/>
              <w:numPr>
                <w:ilvl w:val="0"/>
                <w:numId w:val="35"/>
              </w:num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Fondo AgroPerú, en coordinación con el SERFOR y MIDAGRI, se realizó la convocatoria para contar con </w:t>
            </w:r>
            <w:r w:rsidR="00961957" w:rsidRPr="00E44CD7">
              <w:rPr>
                <w:rFonts w:asciiTheme="minorHAnsi" w:eastAsiaTheme="minorEastAsia" w:hAnsiTheme="minorHAnsi" w:cstheme="minorHAnsi"/>
                <w:sz w:val="16"/>
                <w:szCs w:val="16"/>
              </w:rPr>
              <w:t xml:space="preserve">5 </w:t>
            </w:r>
            <w:r w:rsidRPr="00E44CD7">
              <w:rPr>
                <w:rFonts w:asciiTheme="minorHAnsi" w:eastAsiaTheme="minorEastAsia" w:hAnsiTheme="minorHAnsi" w:cstheme="minorHAnsi"/>
                <w:sz w:val="16"/>
                <w:szCs w:val="16"/>
              </w:rPr>
              <w:t xml:space="preserve">promotores </w:t>
            </w:r>
            <w:r w:rsidR="00961957" w:rsidRPr="00E44CD7">
              <w:rPr>
                <w:rFonts w:asciiTheme="minorHAnsi" w:eastAsiaTheme="minorEastAsia" w:hAnsiTheme="minorHAnsi" w:cstheme="minorHAnsi"/>
                <w:sz w:val="16"/>
                <w:szCs w:val="16"/>
              </w:rPr>
              <w:t>y 1 coordinador</w:t>
            </w:r>
            <w:r w:rsidR="00350364" w:rsidRPr="00E44CD7">
              <w:rPr>
                <w:rFonts w:asciiTheme="minorHAnsi" w:eastAsiaTheme="minorEastAsia" w:hAnsiTheme="minorHAnsi" w:cstheme="minorHAnsi"/>
                <w:sz w:val="16"/>
                <w:szCs w:val="16"/>
              </w:rPr>
              <w:t>, para facilitar el acceso al financiamiento del Programa de renovación y rehabilitación de café y cacao con sistemas agroforestales (SAF) del Fondo AGROPERÚ.</w:t>
            </w:r>
          </w:p>
          <w:p w14:paraId="691F9CE8" w14:textId="77777777" w:rsidR="00961957" w:rsidRPr="00E44CD7" w:rsidRDefault="00961957" w:rsidP="00961957">
            <w:pPr>
              <w:spacing w:after="0"/>
              <w:rPr>
                <w:rFonts w:asciiTheme="minorHAnsi" w:eastAsiaTheme="minorEastAsia" w:hAnsiTheme="minorHAnsi" w:cstheme="minorHAnsi"/>
                <w:sz w:val="16"/>
                <w:szCs w:val="16"/>
              </w:rPr>
            </w:pPr>
          </w:p>
          <w:p w14:paraId="26DACF08" w14:textId="3E2B58BC" w:rsidR="00961957" w:rsidRPr="00E44CD7" w:rsidRDefault="00961957" w:rsidP="00961957">
            <w:pPr>
              <w:spacing w:after="0"/>
              <w:rPr>
                <w:rFonts w:asciiTheme="minorHAnsi" w:eastAsiaTheme="minorEastAsia" w:hAnsiTheme="minorHAnsi" w:cstheme="minorHAnsi"/>
                <w:sz w:val="16"/>
                <w:szCs w:val="16"/>
              </w:rPr>
            </w:pPr>
            <w:r w:rsidRPr="00544664">
              <w:rPr>
                <w:rFonts w:asciiTheme="minorHAnsi" w:eastAsiaTheme="minorEastAsia" w:hAnsiTheme="minorHAnsi" w:cstheme="minorHAnsi"/>
                <w:sz w:val="16"/>
                <w:szCs w:val="16"/>
              </w:rPr>
              <w:t>Adicionalmente,</w:t>
            </w:r>
            <w:r w:rsidR="00350364" w:rsidRPr="00544664">
              <w:rPr>
                <w:rFonts w:asciiTheme="minorHAnsi" w:eastAsiaTheme="minorEastAsia" w:hAnsiTheme="minorHAnsi" w:cstheme="minorHAnsi"/>
                <w:sz w:val="16"/>
                <w:szCs w:val="16"/>
              </w:rPr>
              <w:t xml:space="preserve"> el 2025,</w:t>
            </w:r>
            <w:r w:rsidRPr="00544664">
              <w:rPr>
                <w:rFonts w:asciiTheme="minorHAnsi" w:eastAsiaTheme="minorEastAsia" w:hAnsiTheme="minorHAnsi" w:cstheme="minorHAnsi"/>
                <w:sz w:val="16"/>
                <w:szCs w:val="16"/>
              </w:rPr>
              <w:t xml:space="preserve"> se acompañ</w:t>
            </w:r>
            <w:r w:rsidR="00350364" w:rsidRPr="00544664">
              <w:rPr>
                <w:rFonts w:asciiTheme="minorHAnsi" w:eastAsiaTheme="minorEastAsia" w:hAnsiTheme="minorHAnsi" w:cstheme="minorHAnsi"/>
                <w:sz w:val="16"/>
                <w:szCs w:val="16"/>
              </w:rPr>
              <w:t>ó</w:t>
            </w:r>
            <w:r w:rsidRPr="00544664">
              <w:rPr>
                <w:rFonts w:asciiTheme="minorHAnsi" w:eastAsiaTheme="minorEastAsia" w:hAnsiTheme="minorHAnsi" w:cstheme="minorHAnsi"/>
                <w:sz w:val="16"/>
                <w:szCs w:val="16"/>
              </w:rPr>
              <w:t xml:space="preserve"> el fortalecimiento de capacidades en Eco y Bionegocios, del MINAM, por lo cual se realizó la capacitación a 23 funcionarios, especialistas y emprendedores de Amazonas sobre oportunidades para el acceso a financiamiento para fortalecer la competitividad y promover prácticas responsables con impacto social y ambiental.</w:t>
            </w:r>
            <w:r w:rsidRPr="00E44CD7">
              <w:rPr>
                <w:rFonts w:asciiTheme="minorHAnsi" w:eastAsiaTheme="minorEastAsia" w:hAnsiTheme="minorHAnsi" w:cstheme="minorHAnsi"/>
                <w:sz w:val="16"/>
                <w:szCs w:val="16"/>
              </w:rPr>
              <w:t xml:space="preserve"> </w:t>
            </w:r>
          </w:p>
          <w:p w14:paraId="079299C1" w14:textId="77777777" w:rsidR="00350364" w:rsidRPr="00E44CD7" w:rsidRDefault="00350364" w:rsidP="00961957">
            <w:pPr>
              <w:spacing w:after="0"/>
              <w:rPr>
                <w:rFonts w:asciiTheme="minorHAnsi" w:eastAsiaTheme="minorEastAsia" w:hAnsiTheme="minorHAnsi" w:cstheme="minorHAnsi"/>
                <w:sz w:val="16"/>
                <w:szCs w:val="16"/>
              </w:rPr>
            </w:pPr>
          </w:p>
          <w:p w14:paraId="79A96502" w14:textId="2C5171AA" w:rsidR="00350364" w:rsidRPr="00E44CD7" w:rsidRDefault="00652643" w:rsidP="00961957">
            <w:p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Además, </w:t>
            </w:r>
            <w:r w:rsidR="00350364" w:rsidRPr="00E44CD7">
              <w:rPr>
                <w:rFonts w:asciiTheme="minorHAnsi" w:eastAsiaTheme="minorEastAsia" w:hAnsiTheme="minorHAnsi" w:cstheme="minorHAnsi"/>
                <w:sz w:val="16"/>
                <w:szCs w:val="16"/>
              </w:rPr>
              <w:t>el 2025, en coordinación con MIDAGRI, y con la asesoría del PNUD se concluyeron las gestiones para desarrollar durante el 2026 el Análisis Focalizado de Escenarios (Targeted Scenario Analysis)</w:t>
            </w:r>
            <w:r w:rsidRPr="00E44CD7">
              <w:rPr>
                <w:rFonts w:asciiTheme="minorHAnsi" w:eastAsiaTheme="minorEastAsia" w:hAnsiTheme="minorHAnsi" w:cstheme="minorHAnsi"/>
                <w:sz w:val="16"/>
                <w:szCs w:val="16"/>
              </w:rPr>
              <w:t xml:space="preserve"> del café con énfasis en sistemas productivos sostenibles y libres de deforestación</w:t>
            </w:r>
            <w:r w:rsidR="00350364"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lo </w:t>
            </w:r>
            <w:r w:rsidR="00165826" w:rsidRPr="00E44CD7">
              <w:rPr>
                <w:rFonts w:asciiTheme="minorHAnsi" w:eastAsiaTheme="minorEastAsia" w:hAnsiTheme="minorHAnsi" w:cstheme="minorHAnsi"/>
                <w:sz w:val="16"/>
                <w:szCs w:val="16"/>
              </w:rPr>
              <w:t>cual permitirá</w:t>
            </w:r>
            <w:r w:rsidRPr="00E44CD7">
              <w:rPr>
                <w:rFonts w:asciiTheme="minorHAnsi" w:eastAsiaTheme="minorEastAsia" w:hAnsiTheme="minorHAnsi" w:cstheme="minorHAnsi"/>
                <w:sz w:val="16"/>
                <w:szCs w:val="16"/>
              </w:rPr>
              <w:t xml:space="preserve"> generar evidencia técnica para la toma de decisiones, orientar políticas públicas e inversiones, y fortalecer la competitividad del café peruano en mercados sostenibles.</w:t>
            </w:r>
          </w:p>
          <w:p w14:paraId="7CD5E62C" w14:textId="33452585" w:rsidR="00C9271D" w:rsidRPr="00E44CD7" w:rsidRDefault="00C9271D" w:rsidP="00C9271D">
            <w:pPr>
              <w:spacing w:after="0"/>
              <w:rPr>
                <w:rFonts w:asciiTheme="minorHAnsi" w:eastAsiaTheme="minorEastAsia" w:hAnsiTheme="minorHAnsi" w:cstheme="minorHAnsi"/>
                <w:sz w:val="16"/>
                <w:szCs w:val="16"/>
              </w:rPr>
            </w:pPr>
          </w:p>
          <w:p w14:paraId="01DBF0AB" w14:textId="20C38553" w:rsidR="00906F34" w:rsidRPr="00E44CD7" w:rsidRDefault="00906F34" w:rsidP="00906F34">
            <w:pPr>
              <w:spacing w:after="0"/>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Durante el 2026, se continuará la </w:t>
            </w:r>
            <w:r w:rsidRPr="00E44CD7">
              <w:rPr>
                <w:rFonts w:asciiTheme="minorHAnsi" w:eastAsiaTheme="minorEastAsia" w:hAnsiTheme="minorHAnsi" w:cstheme="minorHAnsi"/>
                <w:sz w:val="16"/>
                <w:szCs w:val="16"/>
              </w:rPr>
              <w:t xml:space="preserve">implementación de las mencionadas </w:t>
            </w:r>
            <w:r w:rsidR="00927E24">
              <w:rPr>
                <w:rFonts w:asciiTheme="minorHAnsi" w:eastAsiaTheme="minorEastAsia" w:hAnsiTheme="minorHAnsi" w:cstheme="minorHAnsi"/>
                <w:sz w:val="16"/>
                <w:szCs w:val="16"/>
              </w:rPr>
              <w:t>acciones</w:t>
            </w:r>
            <w:r w:rsidR="00927E24" w:rsidRPr="00E44CD7">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y también se dará i</w:t>
            </w:r>
            <w:r w:rsidRPr="00E44CD7">
              <w:rPr>
                <w:rFonts w:asciiTheme="minorHAnsi" w:eastAsiaTheme="minorEastAsia" w:hAnsiTheme="minorHAnsi" w:cstheme="minorHAnsi"/>
                <w:sz w:val="16"/>
                <w:szCs w:val="16"/>
              </w:rPr>
              <w:t>nicio a un servicio que tendrá por objetivo diseñar y estructurar una estrategia financiera integral a nivel de paisaje que permita movilizar inversión pública y privada, reducir brechas de acceso a financiamiento y mejorar la</w:t>
            </w:r>
            <w:r w:rsidR="0089348F">
              <w:rPr>
                <w:rFonts w:asciiTheme="minorHAnsi" w:eastAsiaTheme="minorEastAsia" w:hAnsiTheme="minorHAnsi" w:cstheme="minorHAnsi"/>
                <w:sz w:val="16"/>
                <w:szCs w:val="16"/>
              </w:rPr>
              <w:t xml:space="preserve"> </w:t>
            </w:r>
            <w:r w:rsidRPr="00E44CD7">
              <w:rPr>
                <w:rFonts w:asciiTheme="minorHAnsi" w:eastAsiaTheme="minorEastAsia" w:hAnsiTheme="minorHAnsi" w:cstheme="minorHAnsi"/>
                <w:sz w:val="16"/>
                <w:szCs w:val="16"/>
              </w:rPr>
              <w:t xml:space="preserve">competitividad y sostenibilidad de organizaciones productoras de café y cacao libres de deforestación, este diseño buscará </w:t>
            </w:r>
            <w:r w:rsidRPr="00E44CD7">
              <w:rPr>
                <w:rFonts w:asciiTheme="minorHAnsi" w:eastAsiaTheme="minorEastAsia" w:hAnsiTheme="minorHAnsi" w:cstheme="minorHAnsi"/>
                <w:sz w:val="16"/>
                <w:szCs w:val="16"/>
              </w:rPr>
              <w:lastRenderedPageBreak/>
              <w:t>complementar y mejorar los apoyos iniciados durante el 2025, así como proponer otras acciones.</w:t>
            </w:r>
          </w:p>
          <w:p w14:paraId="1A02BFE9" w14:textId="6DCA3B34" w:rsidR="00961957" w:rsidRPr="00E44CD7" w:rsidRDefault="00961957" w:rsidP="00165826">
            <w:pPr>
              <w:spacing w:after="0"/>
              <w:rPr>
                <w:rFonts w:asciiTheme="minorHAnsi" w:eastAsiaTheme="minorEastAsia" w:hAnsiTheme="minorHAnsi" w:cstheme="minorHAnsi"/>
                <w:sz w:val="16"/>
                <w:szCs w:val="16"/>
              </w:rPr>
            </w:pPr>
          </w:p>
        </w:tc>
      </w:tr>
      <w:tr w:rsidR="009B1DCD" w:rsidRPr="00DE692F" w14:paraId="22EC17D6" w14:textId="77777777" w:rsidTr="00D61877">
        <w:trPr>
          <w:trHeight w:val="300"/>
        </w:trPr>
        <w:tc>
          <w:tcPr>
            <w:tcW w:w="746" w:type="pct"/>
            <w:vMerge w:val="restart"/>
            <w:vAlign w:val="center"/>
          </w:tcPr>
          <w:p w14:paraId="59CACAE1" w14:textId="2E97EBAB"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lastRenderedPageBreak/>
              <w:t xml:space="preserve">Componente 3: </w:t>
            </w:r>
            <w:r w:rsidRPr="00DE692F">
              <w:rPr>
                <w:rFonts w:asciiTheme="majorHAnsi" w:hAnsiTheme="majorHAnsi" w:cstheme="majorHAnsi"/>
                <w:b/>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bCs/>
                <w:sz w:val="16"/>
                <w:szCs w:val="16"/>
              </w:rPr>
              <w:t>Reducir la pérdida de biodiversidad y restaurar ecosistemas, BAVC y hábitats naturales.</w:t>
            </w:r>
          </w:p>
          <w:p w14:paraId="376B0F48" w14:textId="2498A185" w:rsidR="009B1DCD" w:rsidRPr="00DE692F" w:rsidRDefault="009B1DCD" w:rsidP="009B1DCD">
            <w:pPr>
              <w:spacing w:after="0"/>
              <w:rPr>
                <w:rFonts w:asciiTheme="majorHAnsi" w:hAnsiTheme="majorHAnsi" w:cstheme="majorHAnsi"/>
                <w:sz w:val="16"/>
                <w:szCs w:val="16"/>
              </w:rPr>
            </w:pPr>
            <w:r w:rsidRPr="00DE692F">
              <w:rPr>
                <w:rFonts w:asciiTheme="majorHAnsi" w:hAnsiTheme="majorHAnsi" w:cstheme="majorHAnsi"/>
                <w:b/>
                <w:bCs/>
                <w:sz w:val="16"/>
                <w:szCs w:val="16"/>
              </w:rPr>
              <w:t xml:space="preserve">Resultado 5: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   y áreas productivas en riesgo de degradación</w:t>
            </w:r>
          </w:p>
        </w:tc>
        <w:tc>
          <w:tcPr>
            <w:tcW w:w="555" w:type="pct"/>
            <w:vAlign w:val="center"/>
          </w:tcPr>
          <w:p w14:paraId="167F6CAB"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color w:val="000000"/>
                <w:sz w:val="16"/>
                <w:szCs w:val="16"/>
              </w:rPr>
              <w:t>Indicador 13:</w:t>
            </w:r>
            <w:r w:rsidRPr="00DE692F">
              <w:rPr>
                <w:rFonts w:asciiTheme="majorHAnsi" w:hAnsiTheme="majorHAnsi" w:cstheme="majorHAnsi"/>
                <w:color w:val="000000"/>
                <w:sz w:val="16"/>
                <w:szCs w:val="16"/>
              </w:rPr>
              <w:t xml:space="preserve"> </w:t>
            </w:r>
          </w:p>
          <w:p w14:paraId="21360BFC" w14:textId="584A9EDB"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Número de hectáreas</w:t>
            </w:r>
            <w:r w:rsidRPr="00DE692F">
              <w:rPr>
                <w:rStyle w:val="Refdenotaalpie"/>
                <w:rFonts w:asciiTheme="majorHAnsi" w:hAnsiTheme="majorHAnsi" w:cstheme="majorHAnsi"/>
                <w:sz w:val="16"/>
                <w:szCs w:val="16"/>
              </w:rPr>
              <w:footnoteReference w:id="7"/>
            </w:r>
            <w:r w:rsidRPr="00DE692F">
              <w:rPr>
                <w:rFonts w:asciiTheme="majorHAnsi" w:hAnsiTheme="majorHAnsi" w:cstheme="majorHAnsi"/>
                <w:color w:val="000000"/>
                <w:sz w:val="16"/>
                <w:szCs w:val="16"/>
              </w:rPr>
              <w:t xml:space="preserve"> de áreas prioritarias para la conservación de la biodiversidad y hábitat natural restauradas</w:t>
            </w:r>
            <w:r w:rsidRPr="00DE692F">
              <w:rPr>
                <w:rStyle w:val="Refdenotaalpie"/>
                <w:rFonts w:asciiTheme="majorHAnsi" w:hAnsiTheme="majorHAnsi" w:cstheme="majorHAnsi"/>
                <w:sz w:val="16"/>
                <w:szCs w:val="16"/>
              </w:rPr>
              <w:footnoteReference w:id="8"/>
            </w:r>
            <w:r w:rsidRPr="00DE692F">
              <w:rPr>
                <w:rFonts w:asciiTheme="majorHAnsi" w:hAnsiTheme="majorHAnsi" w:cstheme="majorHAnsi"/>
                <w:color w:val="000000"/>
                <w:sz w:val="16"/>
                <w:szCs w:val="16"/>
              </w:rPr>
              <w:t xml:space="preserve">  y conservadas</w:t>
            </w:r>
            <w:r w:rsidRPr="00DE692F">
              <w:rPr>
                <w:rStyle w:val="Refdenotaalpie"/>
                <w:rFonts w:asciiTheme="majorHAnsi" w:hAnsiTheme="majorHAnsi" w:cstheme="majorHAnsi"/>
                <w:sz w:val="16"/>
                <w:szCs w:val="16"/>
              </w:rPr>
              <w:footnoteReference w:id="9"/>
            </w:r>
            <w:r w:rsidRPr="00DE692F">
              <w:rPr>
                <w:rFonts w:asciiTheme="majorHAnsi" w:hAnsiTheme="majorHAnsi" w:cstheme="majorHAnsi"/>
                <w:color w:val="000000"/>
                <w:sz w:val="16"/>
                <w:szCs w:val="16"/>
              </w:rPr>
              <w:t>.</w:t>
            </w:r>
          </w:p>
        </w:tc>
        <w:tc>
          <w:tcPr>
            <w:tcW w:w="486" w:type="pct"/>
            <w:vAlign w:val="center"/>
          </w:tcPr>
          <w:p w14:paraId="3B777E4C"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0 hectáreas</w:t>
            </w:r>
          </w:p>
          <w:p w14:paraId="31767952" w14:textId="7234EF1A"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El gobierno de San Martín está completando una estrategia de desarrollo rural regional que incluye bajas emisiones de gases de efecto invernadero (y que abarca 10 provincias). Además, CI, CIMA, AMPA, FUNAVI, SOLIDARIDAD y otros están contribuyendo al análisis del paisaje para definir corredores de conservación en las regiones de Amazonas y San Martín. En Cajamarca y Loreto están surgiendo procesos de ZF.</w:t>
            </w:r>
          </w:p>
        </w:tc>
        <w:tc>
          <w:tcPr>
            <w:tcW w:w="580" w:type="pct"/>
            <w:vAlign w:val="center"/>
          </w:tcPr>
          <w:p w14:paraId="78B7DC87"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52,000 hectáreas de áreas prioritarias para la conservación de la biodiversidad y hábitat natural en proceso de restauración.</w:t>
            </w:r>
          </w:p>
          <w:p w14:paraId="409427EB" w14:textId="77777777" w:rsidR="009B1DCD" w:rsidRPr="00DE692F" w:rsidRDefault="009B1DCD" w:rsidP="009B1DCD">
            <w:pPr>
              <w:jc w:val="left"/>
              <w:rPr>
                <w:rFonts w:asciiTheme="minorHAnsi" w:hAnsiTheme="minorHAnsi" w:cstheme="minorHAnsi"/>
                <w:color w:val="000000"/>
                <w:sz w:val="16"/>
                <w:szCs w:val="16"/>
              </w:rPr>
            </w:pPr>
          </w:p>
          <w:p w14:paraId="0ECC4C66"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Esta meta contribuye al indicador 2 del nivel objetivo.</w:t>
            </w:r>
          </w:p>
          <w:p w14:paraId="4E9B995B" w14:textId="77777777" w:rsidR="009B1DCD" w:rsidRPr="00DE692F" w:rsidRDefault="009B1DCD" w:rsidP="009B1DCD">
            <w:pPr>
              <w:jc w:val="left"/>
              <w:rPr>
                <w:rFonts w:asciiTheme="minorHAnsi" w:hAnsiTheme="minorHAnsi" w:cstheme="minorHAnsi"/>
                <w:color w:val="000000"/>
                <w:sz w:val="16"/>
                <w:szCs w:val="16"/>
              </w:rPr>
            </w:pPr>
          </w:p>
          <w:p w14:paraId="425709A8" w14:textId="77777777" w:rsidR="009B1DCD" w:rsidRPr="00DE692F" w:rsidRDefault="009B1DCD" w:rsidP="009B1DCD">
            <w:pPr>
              <w:jc w:val="left"/>
              <w:rPr>
                <w:rFonts w:asciiTheme="minorHAnsi" w:hAnsiTheme="minorHAnsi" w:cstheme="minorHAnsi"/>
                <w:sz w:val="16"/>
                <w:szCs w:val="16"/>
              </w:rPr>
            </w:pPr>
          </w:p>
          <w:p w14:paraId="2919102A" w14:textId="77777777" w:rsidR="009B1DCD" w:rsidRPr="00DE692F" w:rsidRDefault="009B1DCD" w:rsidP="009B1DCD">
            <w:pPr>
              <w:spacing w:after="0"/>
              <w:jc w:val="left"/>
              <w:rPr>
                <w:rFonts w:asciiTheme="minorHAnsi" w:eastAsiaTheme="minorEastAsia" w:hAnsiTheme="minorHAnsi" w:cstheme="minorHAnsi"/>
                <w:sz w:val="16"/>
                <w:szCs w:val="16"/>
              </w:rPr>
            </w:pPr>
          </w:p>
        </w:tc>
        <w:tc>
          <w:tcPr>
            <w:tcW w:w="565" w:type="pct"/>
            <w:vAlign w:val="center"/>
          </w:tcPr>
          <w:p w14:paraId="201A4474"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304,412 hectáreas de áreas prioritarias para la conservación de la biodiversidad y el hábitat natural en proceso de restauración y conservadas (es decir, aproximadamente 260,050 hectáreas en proceso de restauración y 44,362 hectáreas conservadas).</w:t>
            </w:r>
          </w:p>
          <w:p w14:paraId="2AC0E87D" w14:textId="77777777" w:rsidR="009B1DCD" w:rsidRPr="00DE692F" w:rsidRDefault="009B1DCD" w:rsidP="009B1DCD">
            <w:pPr>
              <w:jc w:val="left"/>
              <w:rPr>
                <w:rFonts w:asciiTheme="minorHAnsi" w:hAnsiTheme="minorHAnsi" w:cstheme="minorHAnsi"/>
                <w:color w:val="000000"/>
                <w:sz w:val="16"/>
                <w:szCs w:val="16"/>
              </w:rPr>
            </w:pPr>
          </w:p>
          <w:p w14:paraId="2E66D6D9" w14:textId="45A3CEC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 los indicadores de nivel objetivo 2 y 3 (específicamente el subindicador 4.4 del GEF CI).</w:t>
            </w:r>
          </w:p>
        </w:tc>
        <w:tc>
          <w:tcPr>
            <w:tcW w:w="484" w:type="pct"/>
            <w:vAlign w:val="center"/>
          </w:tcPr>
          <w:p w14:paraId="418DD8C6" w14:textId="52EDFD9E"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5E5BCA5A"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En progreso</w:t>
            </w:r>
            <w:r w:rsidRPr="00E44CD7">
              <w:rPr>
                <w:rFonts w:asciiTheme="minorHAnsi" w:hAnsiTheme="minorHAnsi" w:cstheme="minorHAnsi"/>
                <w:sz w:val="16"/>
                <w:szCs w:val="16"/>
              </w:rPr>
              <w:t xml:space="preserve">. </w:t>
            </w:r>
          </w:p>
          <w:p w14:paraId="026EBFE2" w14:textId="143C2864" w:rsidR="008962AA" w:rsidRPr="00E44CD7" w:rsidRDefault="00165826" w:rsidP="008962AA">
            <w:pPr>
              <w:pStyle w:val="Default"/>
              <w:rPr>
                <w:rFonts w:asciiTheme="minorHAnsi" w:hAnsiTheme="minorHAnsi" w:cstheme="minorHAnsi"/>
                <w:sz w:val="16"/>
                <w:szCs w:val="16"/>
              </w:rPr>
            </w:pPr>
            <w:r w:rsidRPr="00E44CD7">
              <w:rPr>
                <w:rFonts w:asciiTheme="minorHAnsi" w:hAnsiTheme="minorHAnsi" w:cstheme="minorHAnsi"/>
                <w:sz w:val="16"/>
                <w:szCs w:val="16"/>
              </w:rPr>
              <w:t>21.38 hectáreas -</w:t>
            </w:r>
            <w:r w:rsidR="008962AA" w:rsidRPr="00E44CD7">
              <w:rPr>
                <w:rFonts w:asciiTheme="minorHAnsi" w:hAnsiTheme="minorHAnsi" w:cstheme="minorHAnsi"/>
                <w:sz w:val="16"/>
                <w:szCs w:val="16"/>
              </w:rPr>
              <w:t xml:space="preserve"> 0% </w:t>
            </w:r>
          </w:p>
          <w:p w14:paraId="0137905E" w14:textId="07DE7DD9" w:rsidR="009B1DCD" w:rsidRPr="00E44CD7" w:rsidRDefault="008962AA"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 xml:space="preserve">Este indicador y resultado se alcanzará en </w:t>
            </w:r>
            <w:r w:rsidR="001E3FB4">
              <w:rPr>
                <w:rFonts w:asciiTheme="minorHAnsi" w:hAnsiTheme="minorHAnsi" w:cstheme="minorHAnsi"/>
                <w:sz w:val="16"/>
                <w:szCs w:val="16"/>
              </w:rPr>
              <w:t>el plazo esperado</w:t>
            </w:r>
            <w:r w:rsidRPr="00E44CD7">
              <w:rPr>
                <w:rFonts w:asciiTheme="minorHAnsi" w:hAnsiTheme="minorHAnsi" w:cstheme="minorHAnsi"/>
                <w:sz w:val="16"/>
                <w:szCs w:val="16"/>
              </w:rPr>
              <w:t xml:space="preserve">. </w:t>
            </w:r>
          </w:p>
          <w:p w14:paraId="4BAA246A" w14:textId="648CDCD5" w:rsidR="00281D30" w:rsidRPr="00E44CD7" w:rsidRDefault="006F4774" w:rsidP="00281D30">
            <w:pPr>
              <w:spacing w:after="0"/>
              <w:jc w:val="left"/>
              <w:rPr>
                <w:rFonts w:asciiTheme="minorHAnsi" w:eastAsiaTheme="minorEastAsia" w:hAnsiTheme="minorHAnsi" w:cstheme="minorHAnsi"/>
                <w:sz w:val="16"/>
                <w:szCs w:val="16"/>
              </w:rPr>
            </w:pPr>
            <w:r>
              <w:rPr>
                <w:rFonts w:asciiTheme="minorHAnsi" w:eastAsiaTheme="minorEastAsia" w:hAnsiTheme="minorHAnsi" w:cstheme="minorHAnsi"/>
                <w:sz w:val="16"/>
                <w:szCs w:val="16"/>
              </w:rPr>
              <w:t>En</w:t>
            </w:r>
            <w:r w:rsidR="00281D30" w:rsidRPr="00E44CD7">
              <w:rPr>
                <w:rFonts w:asciiTheme="minorHAnsi" w:eastAsiaTheme="minorEastAsia" w:hAnsiTheme="minorHAnsi" w:cstheme="minorHAnsi"/>
                <w:sz w:val="16"/>
                <w:szCs w:val="16"/>
              </w:rPr>
              <w:t xml:space="preserve"> 2025, se ha avanzado con:</w:t>
            </w:r>
          </w:p>
          <w:p w14:paraId="34C9AD94" w14:textId="77777777" w:rsidR="00165826" w:rsidRPr="00E44CD7" w:rsidRDefault="00165826" w:rsidP="00281D30">
            <w:pPr>
              <w:spacing w:after="0"/>
              <w:jc w:val="left"/>
              <w:rPr>
                <w:rFonts w:asciiTheme="minorHAnsi" w:eastAsiaTheme="minorEastAsia" w:hAnsiTheme="minorHAnsi" w:cstheme="minorHAnsi"/>
                <w:sz w:val="16"/>
                <w:szCs w:val="16"/>
              </w:rPr>
            </w:pPr>
          </w:p>
          <w:p w14:paraId="124A3F62" w14:textId="18E31A61" w:rsidR="00165826" w:rsidRPr="00E44CD7" w:rsidRDefault="00165826" w:rsidP="00281D30">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Hectáreas en proceso de restauración</w:t>
            </w:r>
            <w:r w:rsidR="00EF734B" w:rsidRPr="00E44CD7">
              <w:rPr>
                <w:rFonts w:asciiTheme="minorHAnsi" w:eastAsiaTheme="minorEastAsia" w:hAnsiTheme="minorHAnsi" w:cstheme="minorHAnsi"/>
                <w:sz w:val="16"/>
                <w:szCs w:val="16"/>
              </w:rPr>
              <w:t>:</w:t>
            </w:r>
          </w:p>
          <w:p w14:paraId="5E5F664E" w14:textId="57901263" w:rsidR="00165826" w:rsidRPr="00E44CD7" w:rsidRDefault="00EF734B" w:rsidP="00EF734B">
            <w:pPr>
              <w:pStyle w:val="Prrafodelista"/>
              <w:numPr>
                <w:ilvl w:val="0"/>
                <w:numId w:val="37"/>
              </w:numPr>
              <w:spacing w:after="0"/>
              <w:ind w:hanging="136"/>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Se realizó la restauración ecológica en el circuito turístico Cerro Mirador El Tigre, en coordinación con SERNANP y comunidades locales.</w:t>
            </w:r>
          </w:p>
          <w:p w14:paraId="2608DA7E" w14:textId="5DC09AE3" w:rsidR="00EF734B" w:rsidRPr="00E44CD7" w:rsidRDefault="00EF734B" w:rsidP="00EF734B">
            <w:pPr>
              <w:pStyle w:val="Prrafodelista"/>
              <w:numPr>
                <w:ilvl w:val="0"/>
                <w:numId w:val="37"/>
              </w:numPr>
              <w:spacing w:after="0"/>
              <w:ind w:hanging="136"/>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Mapas de ecosistemas terrestres y áreas degradadas en la región Amazonas elaborados y el inicio de elaboración de mapas regionales de ecosistemas </w:t>
            </w:r>
            <w:r w:rsidRPr="00E44CD7">
              <w:rPr>
                <w:rFonts w:asciiTheme="minorHAnsi" w:eastAsiaTheme="minorEastAsia" w:hAnsiTheme="minorHAnsi" w:cstheme="minorHAnsi"/>
                <w:sz w:val="16"/>
                <w:szCs w:val="16"/>
              </w:rPr>
              <w:t>y AD para Cajamarca. Estos mapas serán la base para planes de restauración regionales.</w:t>
            </w:r>
          </w:p>
          <w:p w14:paraId="1DE09883" w14:textId="504F11D2" w:rsidR="00EF734B" w:rsidRPr="00E44CD7" w:rsidRDefault="00EF734B" w:rsidP="00EF734B">
            <w:pPr>
              <w:pStyle w:val="Prrafodelista"/>
              <w:numPr>
                <w:ilvl w:val="0"/>
                <w:numId w:val="37"/>
              </w:numPr>
              <w:spacing w:after="0"/>
              <w:ind w:hanging="136"/>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Se viene realizando el diseño de 20 ideas de PIP en recuperación de la infraestructural nacional.</w:t>
            </w:r>
          </w:p>
          <w:p w14:paraId="57F97DEF" w14:textId="77777777" w:rsidR="00EF734B" w:rsidRPr="00E44CD7" w:rsidRDefault="00EF734B" w:rsidP="00EF734B">
            <w:pPr>
              <w:spacing w:after="0"/>
              <w:jc w:val="left"/>
              <w:rPr>
                <w:rFonts w:asciiTheme="minorHAnsi" w:eastAsiaTheme="minorEastAsia" w:hAnsiTheme="minorHAnsi" w:cstheme="minorHAnsi"/>
                <w:sz w:val="16"/>
                <w:szCs w:val="16"/>
              </w:rPr>
            </w:pPr>
          </w:p>
          <w:p w14:paraId="388689D5" w14:textId="152DCB76" w:rsidR="00165826" w:rsidRPr="00E44CD7" w:rsidRDefault="00165826" w:rsidP="00281D30">
            <w:pPr>
              <w:spacing w:after="0"/>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Hectáreas conservadas</w:t>
            </w:r>
            <w:r w:rsidR="00EF734B" w:rsidRPr="00E44CD7">
              <w:rPr>
                <w:rFonts w:asciiTheme="minorHAnsi" w:eastAsiaTheme="minorEastAsia" w:hAnsiTheme="minorHAnsi" w:cstheme="minorHAnsi"/>
                <w:sz w:val="16"/>
                <w:szCs w:val="16"/>
              </w:rPr>
              <w:t>:</w:t>
            </w:r>
          </w:p>
          <w:p w14:paraId="3318B837" w14:textId="77777777" w:rsidR="00165826" w:rsidRPr="00E44CD7" w:rsidRDefault="00165826" w:rsidP="00281D30">
            <w:pPr>
              <w:spacing w:after="0"/>
              <w:jc w:val="left"/>
              <w:rPr>
                <w:rFonts w:asciiTheme="minorHAnsi" w:eastAsiaTheme="minorEastAsia" w:hAnsiTheme="minorHAnsi" w:cstheme="minorHAnsi"/>
                <w:sz w:val="16"/>
                <w:szCs w:val="16"/>
              </w:rPr>
            </w:pPr>
          </w:p>
          <w:p w14:paraId="5943CE2D" w14:textId="2585397A" w:rsidR="00281D30" w:rsidRPr="00E44CD7" w:rsidRDefault="00281D30" w:rsidP="00EF734B">
            <w:pPr>
              <w:spacing w:after="0"/>
              <w:ind w:left="224" w:hanging="142"/>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i) Elaboración </w:t>
            </w:r>
            <w:r w:rsidR="002C4BF6">
              <w:rPr>
                <w:rFonts w:asciiTheme="minorHAnsi" w:eastAsiaTheme="minorEastAsia" w:hAnsiTheme="minorHAnsi" w:cstheme="minorHAnsi"/>
                <w:sz w:val="16"/>
                <w:szCs w:val="16"/>
              </w:rPr>
              <w:t xml:space="preserve">del </w:t>
            </w:r>
            <w:r w:rsidRPr="00E44CD7">
              <w:rPr>
                <w:rFonts w:asciiTheme="minorHAnsi" w:eastAsiaTheme="minorEastAsia" w:hAnsiTheme="minorHAnsi" w:cstheme="minorHAnsi"/>
                <w:sz w:val="16"/>
                <w:szCs w:val="16"/>
              </w:rPr>
              <w:t>estudio de identificación de los boques que cumplen los criterios de Alto Valor de Conservación (AVC), el cual se elaboró teniendo como insumo base la información y herramientas aprobadas por los gobiernos regionales y nacional</w:t>
            </w:r>
            <w:r w:rsidR="00AB68F0"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tal es el caso de la Zonificación </w:t>
            </w:r>
            <w:r w:rsidR="00AB68F0" w:rsidRPr="00E44CD7">
              <w:rPr>
                <w:rFonts w:asciiTheme="minorHAnsi" w:eastAsiaTheme="minorEastAsia" w:hAnsiTheme="minorHAnsi" w:cstheme="minorHAnsi"/>
                <w:sz w:val="16"/>
                <w:szCs w:val="16"/>
              </w:rPr>
              <w:t xml:space="preserve">Económica </w:t>
            </w:r>
            <w:r w:rsidRPr="00E44CD7">
              <w:rPr>
                <w:rFonts w:asciiTheme="minorHAnsi" w:eastAsiaTheme="minorEastAsia" w:hAnsiTheme="minorHAnsi" w:cstheme="minorHAnsi"/>
                <w:sz w:val="16"/>
                <w:szCs w:val="16"/>
              </w:rPr>
              <w:t xml:space="preserve">y </w:t>
            </w:r>
            <w:r w:rsidR="00AB68F0" w:rsidRPr="00E44CD7">
              <w:rPr>
                <w:rFonts w:asciiTheme="minorHAnsi" w:eastAsiaTheme="minorEastAsia" w:hAnsiTheme="minorHAnsi" w:cstheme="minorHAnsi"/>
                <w:sz w:val="16"/>
                <w:szCs w:val="16"/>
              </w:rPr>
              <w:t xml:space="preserve">Ecológica </w:t>
            </w:r>
            <w:r w:rsidRPr="00E44CD7">
              <w:rPr>
                <w:rFonts w:asciiTheme="minorHAnsi" w:eastAsiaTheme="minorEastAsia" w:hAnsiTheme="minorHAnsi" w:cstheme="minorHAnsi"/>
                <w:sz w:val="16"/>
                <w:szCs w:val="16"/>
              </w:rPr>
              <w:t>(ZEE) de Cajamarca, Amazonas, San Martin y Loreto.</w:t>
            </w:r>
          </w:p>
          <w:p w14:paraId="19496739" w14:textId="77777777" w:rsidR="00281D30" w:rsidRPr="00E44CD7" w:rsidRDefault="00281D30" w:rsidP="00EF734B">
            <w:pPr>
              <w:spacing w:after="0"/>
              <w:ind w:left="224" w:hanging="142"/>
              <w:jc w:val="left"/>
              <w:rPr>
                <w:rFonts w:asciiTheme="minorHAnsi" w:eastAsiaTheme="minorEastAsia" w:hAnsiTheme="minorHAnsi" w:cstheme="minorHAnsi"/>
                <w:sz w:val="16"/>
                <w:szCs w:val="16"/>
              </w:rPr>
            </w:pPr>
          </w:p>
          <w:p w14:paraId="3009A523" w14:textId="1894209B" w:rsidR="00281D30" w:rsidRPr="00E44CD7" w:rsidRDefault="00281D30" w:rsidP="00EF734B">
            <w:pPr>
              <w:spacing w:after="0"/>
              <w:ind w:left="224" w:hanging="142"/>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ii) A nivel del territorio</w:t>
            </w:r>
            <w:r w:rsidR="00AB68F0"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en coordinación con la organización indígena ORDEPIAA, las CCNN y la asesoría técnica del OSINFOR, se ha identificado las áreas de BAVC a conservar en el año 2026, las cuales están conformadas </w:t>
            </w:r>
            <w:r w:rsidRPr="002C4BF6">
              <w:rPr>
                <w:rFonts w:asciiTheme="minorHAnsi" w:eastAsiaTheme="minorEastAsia" w:hAnsiTheme="minorHAnsi" w:cstheme="minorHAnsi"/>
                <w:sz w:val="16"/>
                <w:szCs w:val="16"/>
              </w:rPr>
              <w:t>por 2</w:t>
            </w:r>
            <w:r w:rsidR="00AB68F0" w:rsidRPr="002C4BF6">
              <w:rPr>
                <w:rFonts w:asciiTheme="minorHAnsi" w:eastAsiaTheme="minorEastAsia" w:hAnsiTheme="minorHAnsi" w:cstheme="minorHAnsi"/>
                <w:sz w:val="16"/>
                <w:szCs w:val="16"/>
              </w:rPr>
              <w:t>,</w:t>
            </w:r>
            <w:r w:rsidRPr="002C4BF6">
              <w:rPr>
                <w:rFonts w:asciiTheme="minorHAnsi" w:eastAsiaTheme="minorEastAsia" w:hAnsiTheme="minorHAnsi" w:cstheme="minorHAnsi"/>
                <w:sz w:val="16"/>
                <w:szCs w:val="16"/>
              </w:rPr>
              <w:t>620 ha</w:t>
            </w:r>
            <w:r w:rsidRPr="00E44CD7">
              <w:rPr>
                <w:rFonts w:asciiTheme="minorHAnsi" w:eastAsiaTheme="minorEastAsia" w:hAnsiTheme="minorHAnsi" w:cstheme="minorHAnsi"/>
                <w:sz w:val="16"/>
                <w:szCs w:val="16"/>
              </w:rPr>
              <w:t xml:space="preserve"> de bosques de comunidades nativas, comprometidas como parte del mecanismo de compensación de multas, de la siguiente manera: </w:t>
            </w:r>
          </w:p>
          <w:p w14:paraId="7D1108BA" w14:textId="77777777" w:rsidR="00281D30" w:rsidRPr="00E44CD7" w:rsidRDefault="00281D30" w:rsidP="00EF734B">
            <w:pPr>
              <w:pStyle w:val="Prrafodelista"/>
              <w:numPr>
                <w:ilvl w:val="0"/>
                <w:numId w:val="28"/>
              </w:numPr>
              <w:spacing w:after="0"/>
              <w:ind w:left="224" w:firstLine="284"/>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CN Naranjal: 1308 ha</w:t>
            </w:r>
          </w:p>
          <w:p w14:paraId="1188BFAF" w14:textId="77777777" w:rsidR="00281D30" w:rsidRPr="00E44CD7" w:rsidRDefault="00281D30" w:rsidP="00EF734B">
            <w:pPr>
              <w:pStyle w:val="Prrafodelista"/>
              <w:numPr>
                <w:ilvl w:val="0"/>
                <w:numId w:val="28"/>
              </w:numPr>
              <w:spacing w:after="0"/>
              <w:ind w:left="224" w:firstLine="284"/>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lastRenderedPageBreak/>
              <w:t>CN San Antonio de Saniyacu: 300 ha</w:t>
            </w:r>
          </w:p>
          <w:p w14:paraId="462E56A5" w14:textId="77777777" w:rsidR="00281D30" w:rsidRPr="00E44CD7" w:rsidRDefault="00281D30" w:rsidP="00EF734B">
            <w:pPr>
              <w:pStyle w:val="Prrafodelista"/>
              <w:numPr>
                <w:ilvl w:val="0"/>
                <w:numId w:val="28"/>
              </w:numPr>
              <w:spacing w:after="0"/>
              <w:ind w:left="224" w:firstLine="284"/>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CN Atahualpa: 512 ha</w:t>
            </w:r>
          </w:p>
          <w:p w14:paraId="7ABEC903" w14:textId="77777777" w:rsidR="00281D30" w:rsidRPr="00E44CD7" w:rsidRDefault="00281D30" w:rsidP="00EF734B">
            <w:pPr>
              <w:pStyle w:val="Prrafodelista"/>
              <w:numPr>
                <w:ilvl w:val="0"/>
                <w:numId w:val="28"/>
              </w:numPr>
              <w:spacing w:after="0"/>
              <w:ind w:left="224" w:firstLine="284"/>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CN Nuevo Uchiza: 500 ha</w:t>
            </w:r>
          </w:p>
          <w:p w14:paraId="66C4CF20" w14:textId="77777777" w:rsidR="002C4BF6" w:rsidRDefault="002C4BF6" w:rsidP="00EF734B">
            <w:pPr>
              <w:spacing w:after="0"/>
              <w:ind w:left="224" w:hanging="142"/>
              <w:jc w:val="left"/>
              <w:rPr>
                <w:rFonts w:asciiTheme="minorHAnsi" w:eastAsiaTheme="minorEastAsia" w:hAnsiTheme="minorHAnsi" w:cstheme="minorHAnsi"/>
                <w:sz w:val="16"/>
                <w:szCs w:val="16"/>
              </w:rPr>
            </w:pPr>
          </w:p>
          <w:p w14:paraId="63F17D0E" w14:textId="02FAB37F" w:rsidR="00281D30" w:rsidRPr="00E44CD7" w:rsidRDefault="00281D30" w:rsidP="00EF734B">
            <w:pPr>
              <w:spacing w:after="0"/>
              <w:ind w:left="224" w:hanging="142"/>
              <w:jc w:val="left"/>
              <w:rPr>
                <w:rFonts w:asciiTheme="minorHAnsi" w:eastAsiaTheme="minorEastAsia" w:hAnsiTheme="minorHAnsi" w:cstheme="minorHAnsi"/>
                <w:sz w:val="16"/>
                <w:szCs w:val="16"/>
              </w:rPr>
            </w:pPr>
            <w:r w:rsidRPr="00E44CD7">
              <w:rPr>
                <w:rFonts w:asciiTheme="minorHAnsi" w:eastAsiaTheme="minorEastAsia" w:hAnsiTheme="minorHAnsi" w:cstheme="minorHAnsi"/>
                <w:sz w:val="16"/>
                <w:szCs w:val="16"/>
              </w:rPr>
              <w:t xml:space="preserve">iii) Otro avance a nivel de coordinación </w:t>
            </w:r>
            <w:r w:rsidR="00AB68F0" w:rsidRPr="00E44CD7">
              <w:rPr>
                <w:rFonts w:asciiTheme="minorHAnsi" w:eastAsiaTheme="minorEastAsia" w:hAnsiTheme="minorHAnsi" w:cstheme="minorHAnsi"/>
                <w:sz w:val="16"/>
                <w:szCs w:val="16"/>
              </w:rPr>
              <w:t>está</w:t>
            </w:r>
            <w:r w:rsidRPr="00E44CD7">
              <w:rPr>
                <w:rFonts w:asciiTheme="minorHAnsi" w:eastAsiaTheme="minorEastAsia" w:hAnsiTheme="minorHAnsi" w:cstheme="minorHAnsi"/>
                <w:sz w:val="16"/>
                <w:szCs w:val="16"/>
              </w:rPr>
              <w:t xml:space="preserve"> relacionado</w:t>
            </w:r>
            <w:r w:rsidR="00AB68F0" w:rsidRPr="00E44CD7">
              <w:rPr>
                <w:rFonts w:asciiTheme="minorHAnsi" w:eastAsiaTheme="minorEastAsia" w:hAnsiTheme="minorHAnsi" w:cstheme="minorHAnsi"/>
                <w:sz w:val="16"/>
                <w:szCs w:val="16"/>
              </w:rPr>
              <w:t xml:space="preserve"> con</w:t>
            </w:r>
            <w:r w:rsidRPr="00E44CD7">
              <w:rPr>
                <w:rFonts w:asciiTheme="minorHAnsi" w:eastAsiaTheme="minorEastAsia" w:hAnsiTheme="minorHAnsi" w:cstheme="minorHAnsi"/>
                <w:sz w:val="16"/>
                <w:szCs w:val="16"/>
              </w:rPr>
              <w:t xml:space="preserve"> la asistencia técnica a la </w:t>
            </w:r>
            <w:r w:rsidRPr="002C4BF6">
              <w:rPr>
                <w:rFonts w:asciiTheme="minorHAnsi" w:eastAsiaTheme="minorEastAsia" w:hAnsiTheme="minorHAnsi" w:cstheme="minorHAnsi"/>
                <w:sz w:val="16"/>
                <w:szCs w:val="16"/>
              </w:rPr>
              <w:t>concesión de conservación Cerro El Adobe (Amazonas) con una extensión de 9</w:t>
            </w:r>
            <w:r w:rsidR="00AB68F0" w:rsidRPr="002C4BF6">
              <w:rPr>
                <w:rFonts w:asciiTheme="minorHAnsi" w:eastAsiaTheme="minorEastAsia" w:hAnsiTheme="minorHAnsi" w:cstheme="minorHAnsi"/>
                <w:sz w:val="16"/>
                <w:szCs w:val="16"/>
              </w:rPr>
              <w:t>,</w:t>
            </w:r>
            <w:r w:rsidRPr="002C4BF6">
              <w:rPr>
                <w:rFonts w:asciiTheme="minorHAnsi" w:eastAsiaTheme="minorEastAsia" w:hAnsiTheme="minorHAnsi" w:cstheme="minorHAnsi"/>
                <w:sz w:val="16"/>
                <w:szCs w:val="16"/>
              </w:rPr>
              <w:t>525 ha</w:t>
            </w:r>
            <w:r w:rsidRPr="00E44CD7">
              <w:rPr>
                <w:rFonts w:asciiTheme="minorHAnsi" w:eastAsiaTheme="minorEastAsia" w:hAnsiTheme="minorHAnsi" w:cstheme="minorHAnsi"/>
                <w:sz w:val="16"/>
                <w:szCs w:val="16"/>
              </w:rPr>
              <w:t>.  Esta actividad está basada también en la articulación con el SERNANP</w:t>
            </w:r>
            <w:r w:rsidR="00AB68F0" w:rsidRPr="00E44CD7">
              <w:rPr>
                <w:rFonts w:asciiTheme="minorHAnsi" w:eastAsiaTheme="minorEastAsia" w:hAnsiTheme="minorHAnsi" w:cstheme="minorHAnsi"/>
                <w:sz w:val="16"/>
                <w:szCs w:val="16"/>
              </w:rPr>
              <w:t>.</w:t>
            </w:r>
            <w:r w:rsidRPr="00E44CD7">
              <w:rPr>
                <w:rFonts w:asciiTheme="minorHAnsi" w:eastAsiaTheme="minorEastAsia" w:hAnsiTheme="minorHAnsi" w:cstheme="minorHAnsi"/>
                <w:sz w:val="16"/>
                <w:szCs w:val="16"/>
              </w:rPr>
              <w:t xml:space="preserve"> Para ello se tuvo una reunión con</w:t>
            </w:r>
            <w:r w:rsidR="00AB68F0" w:rsidRPr="00E44CD7">
              <w:rPr>
                <w:rFonts w:asciiTheme="minorHAnsi" w:eastAsiaTheme="minorEastAsia" w:hAnsiTheme="minorHAnsi" w:cstheme="minorHAnsi"/>
                <w:sz w:val="16"/>
                <w:szCs w:val="16"/>
              </w:rPr>
              <w:t xml:space="preserve"> la A</w:t>
            </w:r>
            <w:r w:rsidRPr="00E44CD7">
              <w:rPr>
                <w:rFonts w:asciiTheme="minorHAnsi" w:eastAsiaTheme="minorEastAsia" w:hAnsiTheme="minorHAnsi" w:cstheme="minorHAnsi"/>
                <w:sz w:val="16"/>
                <w:szCs w:val="16"/>
              </w:rPr>
              <w:t>sociación Chorrera Blanca (CHOBA) con quien</w:t>
            </w:r>
            <w:r w:rsidR="00AB68F0" w:rsidRPr="00E44CD7">
              <w:rPr>
                <w:rFonts w:asciiTheme="minorHAnsi" w:eastAsiaTheme="minorEastAsia" w:hAnsiTheme="minorHAnsi" w:cstheme="minorHAnsi"/>
                <w:sz w:val="16"/>
                <w:szCs w:val="16"/>
              </w:rPr>
              <w:t>es</w:t>
            </w:r>
            <w:r w:rsidRPr="00E44CD7">
              <w:rPr>
                <w:rFonts w:asciiTheme="minorHAnsi" w:eastAsiaTheme="minorEastAsia" w:hAnsiTheme="minorHAnsi" w:cstheme="minorHAnsi"/>
                <w:sz w:val="16"/>
                <w:szCs w:val="16"/>
              </w:rPr>
              <w:t xml:space="preserve"> el Santuario Nacional Cordillera de Colan tiene un Acuerdo de Conservación y con quien existe el compromiso del proyecto FOLUR de financiar la elaboración plan de manejo de la concesión en el año 2026.</w:t>
            </w:r>
          </w:p>
          <w:p w14:paraId="79C202A3" w14:textId="015F7CA6" w:rsidR="00165826" w:rsidRPr="00E44CD7" w:rsidRDefault="00165826" w:rsidP="008962AA">
            <w:pPr>
              <w:spacing w:after="0"/>
              <w:jc w:val="left"/>
              <w:rPr>
                <w:rFonts w:asciiTheme="minorHAnsi" w:eastAsiaTheme="minorEastAsia" w:hAnsiTheme="minorHAnsi" w:cstheme="minorHAnsi"/>
                <w:sz w:val="16"/>
                <w:szCs w:val="16"/>
              </w:rPr>
            </w:pPr>
          </w:p>
        </w:tc>
      </w:tr>
      <w:tr w:rsidR="009B1DCD" w:rsidRPr="00DE692F" w14:paraId="2CEF47E8" w14:textId="77777777" w:rsidTr="00D61877">
        <w:trPr>
          <w:trHeight w:val="300"/>
        </w:trPr>
        <w:tc>
          <w:tcPr>
            <w:tcW w:w="746" w:type="pct"/>
            <w:vMerge/>
            <w:vAlign w:val="center"/>
          </w:tcPr>
          <w:p w14:paraId="5666F79A" w14:textId="77777777" w:rsidR="009B1DCD" w:rsidRPr="00DE692F" w:rsidRDefault="009B1DCD" w:rsidP="009B1DCD">
            <w:pPr>
              <w:spacing w:after="0"/>
              <w:rPr>
                <w:rFonts w:asciiTheme="majorHAnsi" w:hAnsiTheme="majorHAnsi" w:cstheme="majorHAnsi"/>
                <w:sz w:val="16"/>
                <w:szCs w:val="16"/>
              </w:rPr>
            </w:pPr>
          </w:p>
        </w:tc>
        <w:tc>
          <w:tcPr>
            <w:tcW w:w="555" w:type="pct"/>
            <w:vAlign w:val="center"/>
          </w:tcPr>
          <w:p w14:paraId="56AE530F"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 xml:space="preserve">Indicador 14: </w:t>
            </w:r>
          </w:p>
          <w:p w14:paraId="4735BCDD" w14:textId="77EAA05E"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Una estrategia de sostenibilidad financiera desarrollada para la restauración de áreas degradadas priorizadas dentro del alcance del proyecto.</w:t>
            </w:r>
          </w:p>
        </w:tc>
        <w:tc>
          <w:tcPr>
            <w:tcW w:w="486" w:type="pct"/>
            <w:vAlign w:val="center"/>
          </w:tcPr>
          <w:p w14:paraId="3ED4567A" w14:textId="77777777"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0.</w:t>
            </w:r>
          </w:p>
          <w:p w14:paraId="739B5607" w14:textId="73065BA9"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La restauración de hábitats / ecosistemas tiene escaso apoyo financiero. Los presupuestos de GORES no incluyen programas de restauración de ecosistemas.</w:t>
            </w:r>
          </w:p>
        </w:tc>
        <w:tc>
          <w:tcPr>
            <w:tcW w:w="580" w:type="pct"/>
            <w:vAlign w:val="center"/>
          </w:tcPr>
          <w:p w14:paraId="6C25492D" w14:textId="77777777" w:rsidR="009B1DCD" w:rsidRPr="00DE692F" w:rsidRDefault="009B1DCD" w:rsidP="009B1DCD">
            <w:pPr>
              <w:shd w:val="clear" w:color="auto" w:fill="FFFFFF"/>
              <w:jc w:val="left"/>
              <w:rPr>
                <w:rFonts w:asciiTheme="minorHAnsi" w:hAnsiTheme="minorHAnsi" w:cstheme="minorHAnsi"/>
                <w:sz w:val="16"/>
                <w:szCs w:val="16"/>
              </w:rPr>
            </w:pPr>
            <w:r w:rsidRPr="00DE692F">
              <w:rPr>
                <w:rFonts w:asciiTheme="minorHAnsi" w:hAnsiTheme="minorHAnsi" w:cstheme="minorHAnsi"/>
                <w:sz w:val="16"/>
                <w:szCs w:val="16"/>
              </w:rPr>
              <w:t>Un (01) análisis de necesidades y brechas financieras para la restauración desarrollado en el paisaje priorizado del proyecto.</w:t>
            </w:r>
          </w:p>
          <w:p w14:paraId="6D7543D9" w14:textId="77777777" w:rsidR="009B1DCD" w:rsidRPr="00DE692F" w:rsidRDefault="009B1DCD" w:rsidP="009B1DCD">
            <w:pPr>
              <w:shd w:val="clear" w:color="auto" w:fill="FFFFFF"/>
              <w:jc w:val="left"/>
              <w:rPr>
                <w:rFonts w:asciiTheme="minorHAnsi" w:hAnsiTheme="minorHAnsi" w:cstheme="minorHAnsi"/>
                <w:sz w:val="16"/>
                <w:szCs w:val="16"/>
              </w:rPr>
            </w:pPr>
          </w:p>
          <w:p w14:paraId="29405264" w14:textId="46B8C974"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sz w:val="16"/>
                <w:szCs w:val="16"/>
              </w:rPr>
              <w:t>Esta meta contribuye al indicador de nivel objetivo 2.</w:t>
            </w:r>
          </w:p>
        </w:tc>
        <w:tc>
          <w:tcPr>
            <w:tcW w:w="565" w:type="pct"/>
            <w:vAlign w:val="center"/>
          </w:tcPr>
          <w:p w14:paraId="3A153717"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Una (01) estrategia de sostenibilidad financiera para la restauración desarrollada y puesta a prueba en el ámbito de los paisajes priorizados por el proyecto.</w:t>
            </w:r>
          </w:p>
          <w:p w14:paraId="5AEF3FED" w14:textId="77777777" w:rsidR="009B1DCD" w:rsidRPr="00DE692F" w:rsidRDefault="009B1DCD" w:rsidP="009B1DCD">
            <w:pPr>
              <w:pBdr>
                <w:top w:val="nil"/>
                <w:left w:val="nil"/>
                <w:bottom w:val="nil"/>
                <w:right w:val="nil"/>
                <w:between w:val="nil"/>
              </w:pBdr>
              <w:shd w:val="clear" w:color="auto" w:fill="FFFFFF"/>
              <w:jc w:val="left"/>
              <w:rPr>
                <w:rFonts w:asciiTheme="minorHAnsi" w:hAnsiTheme="minorHAnsi" w:cstheme="minorHAnsi"/>
                <w:color w:val="000000"/>
                <w:sz w:val="16"/>
                <w:szCs w:val="16"/>
              </w:rPr>
            </w:pPr>
          </w:p>
          <w:p w14:paraId="36D6D7C2" w14:textId="27744762"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al indicador de nivel objetivo 2.</w:t>
            </w:r>
          </w:p>
        </w:tc>
        <w:tc>
          <w:tcPr>
            <w:tcW w:w="484" w:type="pct"/>
            <w:vAlign w:val="center"/>
          </w:tcPr>
          <w:p w14:paraId="23A585F2" w14:textId="0F2778EF"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53C1C8C3" w14:textId="77777777"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En progreso. </w:t>
            </w:r>
          </w:p>
          <w:p w14:paraId="0F27845A" w14:textId="0B357FC0" w:rsidR="009B1DCD" w:rsidRPr="00E44CD7" w:rsidRDefault="008962AA" w:rsidP="008962AA">
            <w:pPr>
              <w:spacing w:after="0"/>
              <w:jc w:val="left"/>
              <w:rPr>
                <w:rFonts w:asciiTheme="minorHAnsi" w:hAnsiTheme="minorHAnsi" w:cstheme="minorHAnsi"/>
                <w:sz w:val="16"/>
                <w:szCs w:val="16"/>
              </w:rPr>
            </w:pPr>
            <w:r w:rsidRPr="00E44CD7">
              <w:rPr>
                <w:rFonts w:asciiTheme="minorHAnsi" w:hAnsiTheme="minorHAnsi" w:cstheme="minorHAnsi"/>
                <w:sz w:val="16"/>
                <w:szCs w:val="16"/>
              </w:rPr>
              <w:t xml:space="preserve">0 </w:t>
            </w:r>
            <w:r w:rsidR="00440C31" w:rsidRPr="00E44CD7">
              <w:rPr>
                <w:rFonts w:asciiTheme="minorHAnsi" w:hAnsiTheme="minorHAnsi" w:cstheme="minorHAnsi"/>
                <w:sz w:val="16"/>
                <w:szCs w:val="16"/>
              </w:rPr>
              <w:t>estrategia de sostenibilidad</w:t>
            </w:r>
            <w:r w:rsidR="00EF734B" w:rsidRPr="00E44CD7">
              <w:rPr>
                <w:rFonts w:asciiTheme="minorHAnsi" w:hAnsiTheme="minorHAnsi" w:cstheme="minorHAnsi"/>
                <w:sz w:val="16"/>
                <w:szCs w:val="16"/>
              </w:rPr>
              <w:t xml:space="preserve"> puesta a prueba</w:t>
            </w:r>
          </w:p>
          <w:p w14:paraId="4E77BE95" w14:textId="0B00D3B0" w:rsidR="008962AA" w:rsidRPr="00E44CD7" w:rsidRDefault="008962AA" w:rsidP="008962AA">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Este indicador y resultado se alcanzará </w:t>
            </w:r>
            <w:r w:rsidR="00BD10BB">
              <w:rPr>
                <w:rFonts w:asciiTheme="minorHAnsi" w:hAnsiTheme="minorHAnsi" w:cstheme="minorHAnsi"/>
                <w:sz w:val="16"/>
                <w:szCs w:val="16"/>
              </w:rPr>
              <w:t>en los p</w:t>
            </w:r>
            <w:r w:rsidR="004B0415">
              <w:rPr>
                <w:rFonts w:asciiTheme="minorHAnsi" w:hAnsiTheme="minorHAnsi" w:cstheme="minorHAnsi"/>
                <w:sz w:val="16"/>
                <w:szCs w:val="16"/>
              </w:rPr>
              <w:t>l</w:t>
            </w:r>
            <w:r w:rsidR="00BD10BB">
              <w:rPr>
                <w:rFonts w:asciiTheme="minorHAnsi" w:hAnsiTheme="minorHAnsi" w:cstheme="minorHAnsi"/>
                <w:sz w:val="16"/>
                <w:szCs w:val="16"/>
              </w:rPr>
              <w:t>azos esperados</w:t>
            </w:r>
            <w:r w:rsidRPr="00E44CD7">
              <w:rPr>
                <w:rFonts w:asciiTheme="minorHAnsi" w:hAnsiTheme="minorHAnsi" w:cstheme="minorHAnsi"/>
                <w:sz w:val="16"/>
                <w:szCs w:val="16"/>
              </w:rPr>
              <w:t xml:space="preserve">. </w:t>
            </w:r>
          </w:p>
          <w:p w14:paraId="62343CEA" w14:textId="5E3127F6" w:rsidR="00AB68F0" w:rsidRPr="00E44CD7" w:rsidRDefault="006E5400" w:rsidP="00AB68F0">
            <w:pPr>
              <w:pStyle w:val="Default"/>
              <w:rPr>
                <w:rFonts w:asciiTheme="minorHAnsi" w:hAnsiTheme="minorHAnsi" w:cstheme="minorHAnsi"/>
                <w:sz w:val="16"/>
                <w:szCs w:val="16"/>
              </w:rPr>
            </w:pPr>
            <w:r w:rsidRPr="00E44CD7">
              <w:rPr>
                <w:rFonts w:asciiTheme="minorHAnsi" w:hAnsiTheme="minorHAnsi" w:cstheme="minorHAnsi"/>
                <w:sz w:val="16"/>
                <w:szCs w:val="16"/>
              </w:rPr>
              <w:t>E</w:t>
            </w:r>
            <w:r w:rsidR="00AB68F0" w:rsidRPr="00E44CD7">
              <w:rPr>
                <w:rFonts w:asciiTheme="minorHAnsi" w:hAnsiTheme="minorHAnsi" w:cstheme="minorHAnsi"/>
                <w:sz w:val="16"/>
                <w:szCs w:val="16"/>
              </w:rPr>
              <w:t xml:space="preserve">n el 2025 se ha avanzado </w:t>
            </w:r>
            <w:r w:rsidRPr="00E44CD7">
              <w:rPr>
                <w:rFonts w:asciiTheme="minorHAnsi" w:hAnsiTheme="minorHAnsi" w:cstheme="minorHAnsi"/>
                <w:sz w:val="16"/>
                <w:szCs w:val="16"/>
              </w:rPr>
              <w:t>con una estrategia</w:t>
            </w:r>
            <w:r w:rsidR="00AB68F0" w:rsidRPr="00E44CD7">
              <w:rPr>
                <w:rFonts w:asciiTheme="minorHAnsi" w:hAnsiTheme="minorHAnsi" w:cstheme="minorHAnsi"/>
                <w:sz w:val="16"/>
                <w:szCs w:val="16"/>
              </w:rPr>
              <w:t xml:space="preserve"> que promueve el financiamiento público o privado para la restauración y/o conservación</w:t>
            </w:r>
            <w:r w:rsidRPr="00E44CD7">
              <w:rPr>
                <w:rFonts w:asciiTheme="minorHAnsi" w:hAnsiTheme="minorHAnsi" w:cstheme="minorHAnsi"/>
                <w:sz w:val="16"/>
                <w:szCs w:val="16"/>
              </w:rPr>
              <w:t>, que incluye</w:t>
            </w:r>
            <w:r w:rsidR="00AB68F0" w:rsidRPr="00E44CD7">
              <w:rPr>
                <w:rFonts w:asciiTheme="minorHAnsi" w:hAnsiTheme="minorHAnsi" w:cstheme="minorHAnsi"/>
                <w:sz w:val="16"/>
                <w:szCs w:val="16"/>
              </w:rPr>
              <w:t>:</w:t>
            </w:r>
          </w:p>
          <w:p w14:paraId="0911C7EF" w14:textId="77777777" w:rsidR="00AB68F0" w:rsidRPr="00E44CD7" w:rsidRDefault="00AB68F0" w:rsidP="00AB68F0">
            <w:pPr>
              <w:pStyle w:val="Default"/>
              <w:rPr>
                <w:rFonts w:asciiTheme="minorHAnsi" w:hAnsiTheme="minorHAnsi" w:cstheme="minorHAnsi"/>
                <w:sz w:val="16"/>
                <w:szCs w:val="16"/>
              </w:rPr>
            </w:pPr>
          </w:p>
          <w:p w14:paraId="0A2FD705" w14:textId="3F12A600" w:rsidR="00AB68F0" w:rsidRPr="00E44CD7" w:rsidRDefault="00AB68F0" w:rsidP="00AB68F0">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i) El apoyo al desarrollo de la propuesta del programa REVERDECE, basado en el PNCBMCC; y que estima </w:t>
            </w:r>
            <w:r w:rsidRPr="00E44CD7">
              <w:rPr>
                <w:rFonts w:asciiTheme="minorHAnsi" w:hAnsiTheme="minorHAnsi" w:cstheme="minorHAnsi"/>
                <w:sz w:val="16"/>
                <w:szCs w:val="16"/>
              </w:rPr>
              <w:t>aportes a la recuperación de 50,000 ha.</w:t>
            </w:r>
          </w:p>
          <w:p w14:paraId="6858A152" w14:textId="77777777" w:rsidR="00AB68F0" w:rsidRPr="00E44CD7" w:rsidRDefault="00AB68F0" w:rsidP="00AB68F0">
            <w:pPr>
              <w:pStyle w:val="Default"/>
              <w:rPr>
                <w:rFonts w:asciiTheme="minorHAnsi" w:hAnsiTheme="minorHAnsi" w:cstheme="minorHAnsi"/>
                <w:sz w:val="16"/>
                <w:szCs w:val="16"/>
              </w:rPr>
            </w:pPr>
          </w:p>
          <w:p w14:paraId="5F2A9106" w14:textId="0F2C4DF7" w:rsidR="00AB68F0" w:rsidRPr="00E44CD7" w:rsidRDefault="00AB68F0" w:rsidP="00AB68F0">
            <w:pPr>
              <w:pStyle w:val="Default"/>
              <w:rPr>
                <w:rFonts w:asciiTheme="minorHAnsi" w:hAnsiTheme="minorHAnsi" w:cstheme="minorHAnsi"/>
                <w:sz w:val="16"/>
                <w:szCs w:val="16"/>
              </w:rPr>
            </w:pPr>
            <w:r w:rsidRPr="00E44CD7">
              <w:rPr>
                <w:rFonts w:asciiTheme="minorHAnsi" w:hAnsiTheme="minorHAnsi" w:cstheme="minorHAnsi"/>
                <w:sz w:val="16"/>
                <w:szCs w:val="16"/>
              </w:rPr>
              <w:t>ii) Desarrollo de una cartera de inversión pública para la recuperación de ecosistemas en los departamentos de Cajamarca, Amazonas y San Martin</w:t>
            </w:r>
            <w:r w:rsidR="006E5400" w:rsidRPr="00E44CD7">
              <w:rPr>
                <w:rFonts w:asciiTheme="minorHAnsi" w:hAnsiTheme="minorHAnsi" w:cstheme="minorHAnsi"/>
                <w:sz w:val="16"/>
                <w:szCs w:val="16"/>
              </w:rPr>
              <w:t>.</w:t>
            </w:r>
          </w:p>
          <w:p w14:paraId="5266380D" w14:textId="77777777" w:rsidR="00AB68F0" w:rsidRPr="00E44CD7" w:rsidRDefault="00AB68F0" w:rsidP="00AB68F0">
            <w:pPr>
              <w:pStyle w:val="Default"/>
              <w:rPr>
                <w:rFonts w:asciiTheme="minorHAnsi" w:hAnsiTheme="minorHAnsi" w:cstheme="minorHAnsi"/>
                <w:sz w:val="16"/>
                <w:szCs w:val="16"/>
              </w:rPr>
            </w:pPr>
          </w:p>
          <w:p w14:paraId="1B19D114" w14:textId="77777777" w:rsidR="00AB68F0" w:rsidRPr="00E44CD7" w:rsidRDefault="00AB68F0" w:rsidP="00AB68F0">
            <w:pPr>
              <w:pStyle w:val="Default"/>
              <w:rPr>
                <w:rFonts w:asciiTheme="minorHAnsi" w:hAnsiTheme="minorHAnsi" w:cstheme="minorHAnsi"/>
                <w:sz w:val="16"/>
                <w:szCs w:val="16"/>
              </w:rPr>
            </w:pPr>
            <w:r w:rsidRPr="00E44CD7">
              <w:rPr>
                <w:rFonts w:asciiTheme="minorHAnsi" w:hAnsiTheme="minorHAnsi" w:cstheme="minorHAnsi"/>
                <w:sz w:val="16"/>
                <w:szCs w:val="16"/>
              </w:rPr>
              <w:t xml:space="preserve">iii) Desde el proyecto se apoyó el desarrollo de las Orientaciones para el diseño y operación de proyectos de Créditos de biodiversidad, las cuales incluyen dentro de las modalidades de intervención </w:t>
            </w:r>
            <w:r w:rsidR="00421D66" w:rsidRPr="00E44CD7">
              <w:rPr>
                <w:rFonts w:asciiTheme="minorHAnsi" w:hAnsiTheme="minorHAnsi" w:cstheme="minorHAnsi"/>
                <w:sz w:val="16"/>
                <w:szCs w:val="16"/>
              </w:rPr>
              <w:t xml:space="preserve">para </w:t>
            </w:r>
            <w:r w:rsidRPr="00E44CD7">
              <w:rPr>
                <w:rFonts w:asciiTheme="minorHAnsi" w:hAnsiTheme="minorHAnsi" w:cstheme="minorHAnsi"/>
                <w:sz w:val="16"/>
                <w:szCs w:val="16"/>
              </w:rPr>
              <w:t xml:space="preserve">la recuperación de ecosistemas a la restauración y </w:t>
            </w:r>
            <w:r w:rsidR="00421D66" w:rsidRPr="00E44CD7">
              <w:rPr>
                <w:rFonts w:asciiTheme="minorHAnsi" w:hAnsiTheme="minorHAnsi" w:cstheme="minorHAnsi"/>
                <w:sz w:val="16"/>
                <w:szCs w:val="16"/>
              </w:rPr>
              <w:t xml:space="preserve">a la </w:t>
            </w:r>
            <w:r w:rsidRPr="00E44CD7">
              <w:rPr>
                <w:rFonts w:asciiTheme="minorHAnsi" w:hAnsiTheme="minorHAnsi" w:cstheme="minorHAnsi"/>
                <w:sz w:val="16"/>
                <w:szCs w:val="16"/>
              </w:rPr>
              <w:t>rehabilitación</w:t>
            </w:r>
            <w:r w:rsidR="00421D66" w:rsidRPr="00E44CD7">
              <w:rPr>
                <w:rFonts w:asciiTheme="minorHAnsi" w:hAnsiTheme="minorHAnsi" w:cstheme="minorHAnsi"/>
                <w:sz w:val="16"/>
                <w:szCs w:val="16"/>
              </w:rPr>
              <w:t>.</w:t>
            </w:r>
            <w:r w:rsidRPr="00E44CD7">
              <w:rPr>
                <w:rFonts w:asciiTheme="minorHAnsi" w:hAnsiTheme="minorHAnsi" w:cstheme="minorHAnsi"/>
                <w:sz w:val="16"/>
                <w:szCs w:val="16"/>
              </w:rPr>
              <w:t xml:space="preserve"> </w:t>
            </w:r>
          </w:p>
          <w:p w14:paraId="0AB2A400" w14:textId="77777777" w:rsidR="00421D66" w:rsidRPr="00E44CD7" w:rsidRDefault="00421D66" w:rsidP="00AB68F0">
            <w:pPr>
              <w:pStyle w:val="Default"/>
              <w:rPr>
                <w:rFonts w:asciiTheme="minorHAnsi" w:hAnsiTheme="minorHAnsi" w:cstheme="minorHAnsi"/>
                <w:sz w:val="16"/>
                <w:szCs w:val="16"/>
              </w:rPr>
            </w:pPr>
          </w:p>
          <w:p w14:paraId="2010508F" w14:textId="04724DD1" w:rsidR="00421D66" w:rsidRPr="00E44CD7" w:rsidRDefault="00421D66" w:rsidP="00AB68F0">
            <w:pPr>
              <w:pStyle w:val="Default"/>
              <w:rPr>
                <w:rFonts w:asciiTheme="minorHAnsi" w:hAnsiTheme="minorHAnsi" w:cstheme="minorHAnsi"/>
                <w:sz w:val="16"/>
                <w:szCs w:val="16"/>
              </w:rPr>
            </w:pPr>
            <w:r w:rsidRPr="00E44CD7">
              <w:rPr>
                <w:rFonts w:asciiTheme="minorHAnsi" w:hAnsiTheme="minorHAnsi" w:cstheme="minorHAnsi"/>
                <w:sz w:val="16"/>
                <w:szCs w:val="16"/>
              </w:rPr>
              <w:t>Durante el 2026, se continuará el apoyo para lograr la implementación de estas acciones.</w:t>
            </w:r>
          </w:p>
        </w:tc>
      </w:tr>
      <w:tr w:rsidR="009B1DCD" w:rsidRPr="00DE692F" w14:paraId="3F5A7D9C" w14:textId="77777777" w:rsidTr="00D61877">
        <w:trPr>
          <w:trHeight w:val="300"/>
        </w:trPr>
        <w:tc>
          <w:tcPr>
            <w:tcW w:w="746" w:type="pct"/>
            <w:vAlign w:val="center"/>
          </w:tcPr>
          <w:p w14:paraId="110C014E" w14:textId="288C7E50"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t xml:space="preserve">Componente 3: </w:t>
            </w:r>
            <w:r w:rsidRPr="00DE692F">
              <w:rPr>
                <w:rFonts w:asciiTheme="majorHAnsi" w:hAnsiTheme="majorHAnsi" w:cstheme="majorHAnsi"/>
                <w:b/>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bCs/>
                <w:sz w:val="16"/>
                <w:szCs w:val="16"/>
              </w:rPr>
              <w:t xml:space="preserve">Reducir la pérdida de biodiversidad y </w:t>
            </w:r>
            <w:r w:rsidRPr="00DE692F">
              <w:rPr>
                <w:rFonts w:asciiTheme="majorHAnsi" w:hAnsiTheme="majorHAnsi" w:cstheme="majorHAnsi"/>
                <w:bCs/>
                <w:sz w:val="16"/>
                <w:szCs w:val="16"/>
              </w:rPr>
              <w:lastRenderedPageBreak/>
              <w:t>restaurar ecosistemas, BAVC y hábitats naturales.</w:t>
            </w:r>
          </w:p>
          <w:p w14:paraId="059BAADB" w14:textId="23D1B828" w:rsidR="009B1DCD" w:rsidRPr="00DE692F" w:rsidRDefault="009B1DCD" w:rsidP="009B1DCD">
            <w:pPr>
              <w:spacing w:after="0"/>
              <w:rPr>
                <w:rFonts w:asciiTheme="majorHAnsi" w:hAnsiTheme="majorHAnsi" w:cstheme="majorHAnsi"/>
                <w:sz w:val="16"/>
                <w:szCs w:val="16"/>
              </w:rPr>
            </w:pPr>
            <w:r w:rsidRPr="00DE692F">
              <w:rPr>
                <w:rFonts w:asciiTheme="majorHAnsi" w:hAnsiTheme="majorHAnsi" w:cstheme="majorHAnsi"/>
                <w:b/>
                <w:bCs/>
                <w:sz w:val="16"/>
                <w:szCs w:val="16"/>
              </w:rPr>
              <w:t xml:space="preserve">Resultado 6: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Los corredores de conservación han mejorado la conectividad, la conservación de la biodiversidad y los servicios ecosistémicos (SSEE).</w:t>
            </w:r>
          </w:p>
        </w:tc>
        <w:tc>
          <w:tcPr>
            <w:tcW w:w="555" w:type="pct"/>
            <w:vAlign w:val="center"/>
          </w:tcPr>
          <w:p w14:paraId="3FF63799" w14:textId="263DA325"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b/>
                <w:bCs/>
                <w:color w:val="000000"/>
                <w:sz w:val="16"/>
                <w:szCs w:val="16"/>
              </w:rPr>
              <w:lastRenderedPageBreak/>
              <w:t>Indicador 15.</w:t>
            </w:r>
            <w:r w:rsidRPr="00DE692F">
              <w:rPr>
                <w:rFonts w:asciiTheme="majorHAnsi" w:hAnsiTheme="majorHAnsi" w:cstheme="majorHAnsi"/>
                <w:color w:val="000000"/>
                <w:sz w:val="16"/>
                <w:szCs w:val="16"/>
              </w:rPr>
              <w:t xml:space="preserve"> Número de informes anuales de monitoreo </w:t>
            </w:r>
            <w:r w:rsidRPr="00DE692F">
              <w:rPr>
                <w:rFonts w:asciiTheme="majorHAnsi" w:hAnsiTheme="majorHAnsi" w:cstheme="majorHAnsi"/>
                <w:color w:val="000000"/>
                <w:sz w:val="16"/>
                <w:szCs w:val="16"/>
              </w:rPr>
              <w:lastRenderedPageBreak/>
              <w:t>jurisdiccionales / de corredores (con datos digitales y de visitas al sitio) que verifican mejoras en la conectividad, la conservación de la biodiversidad y los SE, incluidos los informes de GORES y otras partes interesadas. Se incluyen criterios de género en el monitoreo y la presentación de informes.</w:t>
            </w:r>
          </w:p>
        </w:tc>
        <w:tc>
          <w:tcPr>
            <w:tcW w:w="486" w:type="pct"/>
            <w:vAlign w:val="center"/>
          </w:tcPr>
          <w:p w14:paraId="63BFD095" w14:textId="4464DAB0"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lastRenderedPageBreak/>
              <w:t xml:space="preserve">Existen varios sistemas de información: a </w:t>
            </w:r>
            <w:r w:rsidRPr="00DE692F">
              <w:rPr>
                <w:rFonts w:asciiTheme="majorHAnsi" w:hAnsiTheme="majorHAnsi" w:cstheme="majorHAnsi"/>
                <w:color w:val="000000"/>
                <w:sz w:val="16"/>
                <w:szCs w:val="16"/>
              </w:rPr>
              <w:lastRenderedPageBreak/>
              <w:t>nivel nacional (MINAM-SINIA), informes sobre estrategias de conservación a nivel regional (GORES / ONG); y a nivel mundial como Collect Earth de la FAO. Existe una integración limitada entre los sistemas; y los informes sobre conectividad, biodiversidad y ecosistemas no están sistematizados. Criterios de género no se incluyen durante el monitoreo y la presentación de informes. No hay acuerdos de conservación (AC) individuales / comunitarios integrados a los sistemas de monitoreo.</w:t>
            </w:r>
          </w:p>
        </w:tc>
        <w:tc>
          <w:tcPr>
            <w:tcW w:w="580" w:type="pct"/>
            <w:vAlign w:val="center"/>
          </w:tcPr>
          <w:p w14:paraId="6AF05E82" w14:textId="77777777" w:rsidR="009B1DCD" w:rsidRPr="00DE692F" w:rsidRDefault="009B1DCD" w:rsidP="009B1DCD">
            <w:pP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Dos (02) informes anuales de monitoreo jurisdiccionales / de </w:t>
            </w:r>
            <w:r w:rsidRPr="00DE692F">
              <w:rPr>
                <w:rFonts w:asciiTheme="minorHAnsi" w:hAnsiTheme="minorHAnsi" w:cstheme="minorHAnsi"/>
                <w:color w:val="000000"/>
                <w:sz w:val="16"/>
                <w:szCs w:val="16"/>
              </w:rPr>
              <w:lastRenderedPageBreak/>
              <w:t>corredores (con datos digitales y de visitas a sitios) verifican mejoras en la conectividad, la conservación de la biodiversidad y los SE, incluidos informes de GORES y otras partes interesadas. Se incluyen criterios de género en el monitoreo y los informes.</w:t>
            </w:r>
          </w:p>
          <w:p w14:paraId="2266A1BB" w14:textId="77777777" w:rsidR="009B1DCD" w:rsidRPr="00DE692F" w:rsidRDefault="009B1DCD" w:rsidP="009B1DCD">
            <w:pPr>
              <w:jc w:val="left"/>
              <w:rPr>
                <w:rFonts w:asciiTheme="minorHAnsi" w:hAnsiTheme="minorHAnsi" w:cstheme="minorHAnsi"/>
                <w:color w:val="000000"/>
                <w:sz w:val="16"/>
                <w:szCs w:val="16"/>
              </w:rPr>
            </w:pPr>
          </w:p>
          <w:p w14:paraId="50B1C277" w14:textId="56574A30"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Esta meta contribuye al Indicador Objetivo 3 sobre hectáreas de paisajes bajo prácticas mejoradas.</w:t>
            </w:r>
          </w:p>
        </w:tc>
        <w:tc>
          <w:tcPr>
            <w:tcW w:w="565" w:type="pct"/>
            <w:vAlign w:val="center"/>
          </w:tcPr>
          <w:p w14:paraId="6DC609AC" w14:textId="77777777"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lastRenderedPageBreak/>
              <w:t xml:space="preserve">Cinco (05) informes anuales de monitoreo jurisdiccionales / de </w:t>
            </w:r>
            <w:r w:rsidRPr="00DE692F">
              <w:rPr>
                <w:rFonts w:asciiTheme="minorHAnsi" w:hAnsiTheme="minorHAnsi" w:cstheme="minorHAnsi"/>
                <w:sz w:val="16"/>
                <w:szCs w:val="16"/>
              </w:rPr>
              <w:lastRenderedPageBreak/>
              <w:t>corredores (con datos digitales y de visitas a sitios) que verifican mejoras en la conectividad, la conservación de la biodiversidad y los SE, incluidos informes de GORES y otras partes interesadas. Se incluyen criterios de género en el monitoreo y los informes.</w:t>
            </w:r>
          </w:p>
          <w:p w14:paraId="616DFD73" w14:textId="77777777" w:rsidR="009B1DCD" w:rsidRPr="00DE692F" w:rsidRDefault="009B1DCD" w:rsidP="009B1DCD">
            <w:pPr>
              <w:jc w:val="left"/>
              <w:rPr>
                <w:rFonts w:asciiTheme="minorHAnsi" w:hAnsiTheme="minorHAnsi" w:cstheme="minorHAnsi"/>
                <w:sz w:val="16"/>
                <w:szCs w:val="16"/>
              </w:rPr>
            </w:pPr>
          </w:p>
          <w:p w14:paraId="53A10941" w14:textId="239BEB98" w:rsidR="009B1DCD" w:rsidRPr="00DE692F" w:rsidRDefault="009B1DCD" w:rsidP="009B1DCD">
            <w:pPr>
              <w:jc w:val="left"/>
              <w:rPr>
                <w:rFonts w:asciiTheme="minorHAnsi" w:hAnsiTheme="minorHAnsi" w:cstheme="minorHAnsi"/>
                <w:sz w:val="16"/>
                <w:szCs w:val="16"/>
              </w:rPr>
            </w:pPr>
            <w:r w:rsidRPr="00DE692F">
              <w:rPr>
                <w:rFonts w:asciiTheme="minorHAnsi" w:hAnsiTheme="minorHAnsi" w:cstheme="minorHAnsi"/>
                <w:sz w:val="16"/>
                <w:szCs w:val="16"/>
              </w:rPr>
              <w:t>Esta meta contribuye al Indicador Objetivo 3 sobre hectáreas de paisajes bajo prácticas mejoradas.</w:t>
            </w:r>
          </w:p>
          <w:p w14:paraId="45E82A0E" w14:textId="77777777" w:rsidR="009B1DCD" w:rsidRPr="00DE692F" w:rsidRDefault="009B1DCD" w:rsidP="009B1DCD">
            <w:pPr>
              <w:spacing w:after="0"/>
              <w:jc w:val="left"/>
              <w:rPr>
                <w:rFonts w:asciiTheme="minorHAnsi" w:eastAsiaTheme="minorEastAsia" w:hAnsiTheme="minorHAnsi" w:cstheme="minorHAnsi"/>
                <w:sz w:val="16"/>
                <w:szCs w:val="16"/>
              </w:rPr>
            </w:pPr>
          </w:p>
        </w:tc>
        <w:tc>
          <w:tcPr>
            <w:tcW w:w="484" w:type="pct"/>
            <w:vAlign w:val="center"/>
          </w:tcPr>
          <w:p w14:paraId="4E7E1D01" w14:textId="785716D4"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55CB5CD4" w14:textId="77777777"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75B52155" w14:textId="77777777"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0 informes anuales – 0% </w:t>
            </w:r>
          </w:p>
          <w:p w14:paraId="0786E4A6" w14:textId="39C5C787" w:rsidR="009B1DCD" w:rsidRPr="00DE692F" w:rsidRDefault="008962AA" w:rsidP="008962AA">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Este indicador y resultado se alcanzará en </w:t>
            </w:r>
            <w:r w:rsidR="00C839ED">
              <w:rPr>
                <w:rFonts w:asciiTheme="minorHAnsi" w:hAnsiTheme="minorHAnsi" w:cstheme="minorHAnsi"/>
                <w:sz w:val="16"/>
                <w:szCs w:val="16"/>
              </w:rPr>
              <w:t>el plazo esperado</w:t>
            </w:r>
            <w:r w:rsidRPr="00DE692F">
              <w:rPr>
                <w:rFonts w:asciiTheme="minorHAnsi" w:hAnsiTheme="minorHAnsi" w:cstheme="minorHAnsi"/>
                <w:sz w:val="16"/>
                <w:szCs w:val="16"/>
              </w:rPr>
              <w:t xml:space="preserve"> </w:t>
            </w:r>
          </w:p>
          <w:p w14:paraId="2C17134C" w14:textId="73844F8B" w:rsidR="00D85A90" w:rsidRPr="00DE692F" w:rsidRDefault="00D85A90" w:rsidP="00D85A90">
            <w:pPr>
              <w:spacing w:after="0"/>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El monitoreo de la conectividad</w:t>
            </w:r>
            <w:r w:rsidR="00421D66">
              <w:rPr>
                <w:rFonts w:asciiTheme="minorHAnsi" w:eastAsiaTheme="minorEastAsia" w:hAnsiTheme="minorHAnsi" w:cstheme="minorHAnsi"/>
                <w:sz w:val="16"/>
                <w:szCs w:val="16"/>
              </w:rPr>
              <w:t xml:space="preserve"> de la</w:t>
            </w:r>
            <w:r w:rsidRPr="00DE692F">
              <w:rPr>
                <w:rFonts w:asciiTheme="minorHAnsi" w:eastAsiaTheme="minorEastAsia" w:hAnsiTheme="minorHAnsi" w:cstheme="minorHAnsi"/>
                <w:sz w:val="16"/>
                <w:szCs w:val="16"/>
              </w:rPr>
              <w:t xml:space="preserve"> restauración es un tema </w:t>
            </w:r>
            <w:r w:rsidR="00421D66">
              <w:rPr>
                <w:rFonts w:asciiTheme="minorHAnsi" w:eastAsiaTheme="minorEastAsia" w:hAnsiTheme="minorHAnsi" w:cstheme="minorHAnsi"/>
                <w:sz w:val="16"/>
                <w:szCs w:val="16"/>
              </w:rPr>
              <w:t xml:space="preserve">que </w:t>
            </w:r>
            <w:r w:rsidR="00421D66" w:rsidRPr="00DE692F">
              <w:rPr>
                <w:rFonts w:asciiTheme="minorHAnsi" w:eastAsiaTheme="minorEastAsia" w:hAnsiTheme="minorHAnsi" w:cstheme="minorHAnsi"/>
                <w:sz w:val="16"/>
                <w:szCs w:val="16"/>
              </w:rPr>
              <w:t>aún</w:t>
            </w:r>
            <w:r w:rsidRPr="00DE692F">
              <w:rPr>
                <w:rFonts w:asciiTheme="minorHAnsi" w:eastAsiaTheme="minorEastAsia" w:hAnsiTheme="minorHAnsi" w:cstheme="minorHAnsi"/>
                <w:sz w:val="16"/>
                <w:szCs w:val="16"/>
              </w:rPr>
              <w:t xml:space="preserve"> e</w:t>
            </w:r>
            <w:r w:rsidR="00421D66">
              <w:rPr>
                <w:rFonts w:asciiTheme="minorHAnsi" w:eastAsiaTheme="minorEastAsia" w:hAnsiTheme="minorHAnsi" w:cstheme="minorHAnsi"/>
                <w:sz w:val="16"/>
                <w:szCs w:val="16"/>
              </w:rPr>
              <w:t>stá e</w:t>
            </w:r>
            <w:r w:rsidRPr="00DE692F">
              <w:rPr>
                <w:rFonts w:asciiTheme="minorHAnsi" w:eastAsiaTheme="minorEastAsia" w:hAnsiTheme="minorHAnsi" w:cstheme="minorHAnsi"/>
                <w:sz w:val="16"/>
                <w:szCs w:val="16"/>
              </w:rPr>
              <w:t>n proceso</w:t>
            </w:r>
            <w:r w:rsidR="00421D66">
              <w:rPr>
                <w:rFonts w:asciiTheme="minorHAnsi" w:eastAsiaTheme="minorEastAsia" w:hAnsiTheme="minorHAnsi" w:cstheme="minorHAnsi"/>
                <w:sz w:val="16"/>
                <w:szCs w:val="16"/>
              </w:rPr>
              <w:t xml:space="preserve"> de diseño</w:t>
            </w:r>
            <w:r w:rsidRPr="00DE692F">
              <w:rPr>
                <w:rFonts w:asciiTheme="minorHAnsi" w:eastAsiaTheme="minorEastAsia" w:hAnsiTheme="minorHAnsi" w:cstheme="minorHAnsi"/>
                <w:sz w:val="16"/>
                <w:szCs w:val="16"/>
              </w:rPr>
              <w:t xml:space="preserve"> en el país,</w:t>
            </w:r>
            <w:r w:rsidR="00421D66">
              <w:rPr>
                <w:rFonts w:asciiTheme="minorHAnsi" w:eastAsiaTheme="minorEastAsia" w:hAnsiTheme="minorHAnsi" w:cstheme="minorHAnsi"/>
                <w:sz w:val="16"/>
                <w:szCs w:val="16"/>
              </w:rPr>
              <w:t xml:space="preserve"> y que es</w:t>
            </w:r>
            <w:r w:rsidRPr="00DE692F">
              <w:rPr>
                <w:rFonts w:asciiTheme="minorHAnsi" w:eastAsiaTheme="minorEastAsia" w:hAnsiTheme="minorHAnsi" w:cstheme="minorHAnsi"/>
                <w:sz w:val="16"/>
                <w:szCs w:val="16"/>
              </w:rPr>
              <w:t xml:space="preserve"> impulsado por los compromisos de Kunming Montreal. En ese sentido, desde el proyecto se ha estado articulando con la Dirección General de Diversidad Biológica </w:t>
            </w:r>
            <w:r w:rsidR="00945D2E" w:rsidRPr="00DE692F">
              <w:rPr>
                <w:rFonts w:asciiTheme="minorHAnsi" w:eastAsiaTheme="minorEastAsia" w:hAnsiTheme="minorHAnsi" w:cstheme="minorHAnsi"/>
                <w:sz w:val="16"/>
                <w:szCs w:val="16"/>
              </w:rPr>
              <w:t>en relación con el</w:t>
            </w:r>
            <w:r w:rsidRPr="00DE692F">
              <w:rPr>
                <w:rFonts w:asciiTheme="minorHAnsi" w:eastAsiaTheme="minorEastAsia" w:hAnsiTheme="minorHAnsi" w:cstheme="minorHAnsi"/>
                <w:sz w:val="16"/>
                <w:szCs w:val="16"/>
              </w:rPr>
              <w:t xml:space="preserve"> proceso de la hoja de ruta para la meta 2. Asimismo, se ha coordinado con la FAO   en el marco del proyecto AIM4NatuRe -Acelerando el Monitoreo Innovador para la Restauración de la Naturaleza, </w:t>
            </w:r>
            <w:r w:rsidR="00421D66">
              <w:rPr>
                <w:rFonts w:asciiTheme="minorHAnsi" w:eastAsiaTheme="minorEastAsia" w:hAnsiTheme="minorHAnsi" w:cstheme="minorHAnsi"/>
                <w:sz w:val="16"/>
                <w:szCs w:val="16"/>
              </w:rPr>
              <w:t xml:space="preserve">a fin de </w:t>
            </w:r>
            <w:r w:rsidRPr="00DE692F">
              <w:rPr>
                <w:rFonts w:asciiTheme="minorHAnsi" w:eastAsiaTheme="minorEastAsia" w:hAnsiTheme="minorHAnsi" w:cstheme="minorHAnsi"/>
                <w:sz w:val="16"/>
                <w:szCs w:val="16"/>
              </w:rPr>
              <w:t xml:space="preserve">ver puntos de encuentros y metodologías para el reporte de la restauración. </w:t>
            </w:r>
          </w:p>
          <w:p w14:paraId="0C4C231A" w14:textId="77777777" w:rsidR="00D85A90" w:rsidRPr="00DE692F" w:rsidRDefault="00D85A90" w:rsidP="00D85A90">
            <w:pPr>
              <w:spacing w:after="0"/>
              <w:jc w:val="left"/>
              <w:rPr>
                <w:rFonts w:asciiTheme="minorHAnsi" w:eastAsiaTheme="minorEastAsia" w:hAnsiTheme="minorHAnsi" w:cstheme="minorHAnsi"/>
                <w:sz w:val="16"/>
                <w:szCs w:val="16"/>
              </w:rPr>
            </w:pPr>
          </w:p>
          <w:p w14:paraId="77D4877E" w14:textId="7EE4145F" w:rsidR="00D85A90" w:rsidRPr="006D23C5" w:rsidRDefault="00D85A90" w:rsidP="00D85A90">
            <w:pPr>
              <w:spacing w:after="0"/>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En ese marco, con la Dirección General de Ordenamiento Territorial y Gestión Integrada de los Recursos Naturales (DGOTGIRN) del MINAM, se ha venido desarrolla</w:t>
            </w:r>
            <w:r w:rsidR="00421D66">
              <w:rPr>
                <w:rFonts w:asciiTheme="minorHAnsi" w:eastAsiaTheme="minorEastAsia" w:hAnsiTheme="minorHAnsi" w:cstheme="minorHAnsi"/>
                <w:sz w:val="16"/>
                <w:szCs w:val="16"/>
              </w:rPr>
              <w:t>n</w:t>
            </w:r>
            <w:r w:rsidR="006B0342">
              <w:rPr>
                <w:rFonts w:asciiTheme="minorHAnsi" w:eastAsiaTheme="minorEastAsia" w:hAnsiTheme="minorHAnsi" w:cstheme="minorHAnsi"/>
                <w:sz w:val="16"/>
                <w:szCs w:val="16"/>
              </w:rPr>
              <w:t>d</w:t>
            </w:r>
            <w:r w:rsidRPr="00DE692F">
              <w:rPr>
                <w:rFonts w:asciiTheme="minorHAnsi" w:eastAsiaTheme="minorEastAsia" w:hAnsiTheme="minorHAnsi" w:cstheme="minorHAnsi"/>
                <w:sz w:val="16"/>
                <w:szCs w:val="16"/>
              </w:rPr>
              <w:t xml:space="preserve">o los términos de referencia para la implementación de Pilotos </w:t>
            </w:r>
            <w:r w:rsidR="00421D66">
              <w:rPr>
                <w:rFonts w:asciiTheme="minorHAnsi" w:eastAsiaTheme="minorEastAsia" w:hAnsiTheme="minorHAnsi" w:cstheme="minorHAnsi"/>
                <w:sz w:val="16"/>
                <w:szCs w:val="16"/>
              </w:rPr>
              <w:t xml:space="preserve">que </w:t>
            </w:r>
            <w:r w:rsidRPr="00DE692F">
              <w:rPr>
                <w:rFonts w:asciiTheme="minorHAnsi" w:eastAsiaTheme="minorEastAsia" w:hAnsiTheme="minorHAnsi" w:cstheme="minorHAnsi"/>
                <w:sz w:val="16"/>
                <w:szCs w:val="16"/>
              </w:rPr>
              <w:t>apli</w:t>
            </w:r>
            <w:r w:rsidR="00421D66">
              <w:rPr>
                <w:rFonts w:asciiTheme="minorHAnsi" w:eastAsiaTheme="minorEastAsia" w:hAnsiTheme="minorHAnsi" w:cstheme="minorHAnsi"/>
                <w:sz w:val="16"/>
                <w:szCs w:val="16"/>
              </w:rPr>
              <w:t>quen</w:t>
            </w:r>
            <w:r w:rsidRPr="00DE692F">
              <w:rPr>
                <w:rFonts w:asciiTheme="minorHAnsi" w:eastAsiaTheme="minorEastAsia" w:hAnsiTheme="minorHAnsi" w:cstheme="minorHAnsi"/>
                <w:sz w:val="16"/>
                <w:szCs w:val="16"/>
              </w:rPr>
              <w:t xml:space="preserve"> la propuesta de “</w:t>
            </w:r>
            <w:r w:rsidRPr="006D23C5">
              <w:rPr>
                <w:rFonts w:asciiTheme="minorHAnsi" w:eastAsiaTheme="minorEastAsia" w:hAnsiTheme="minorHAnsi" w:cstheme="minorHAnsi"/>
                <w:sz w:val="16"/>
                <w:szCs w:val="16"/>
              </w:rPr>
              <w:t xml:space="preserve">Procedimiento metodológico para el monitoreo y evaluación de la recuperación de ecosistemas, aplicable a proyectos que cuentan con acciones de recuperación”.  El servicio considera </w:t>
            </w:r>
            <w:r w:rsidR="006D23C5" w:rsidRPr="006D23C5">
              <w:rPr>
                <w:rFonts w:asciiTheme="minorHAnsi" w:eastAsiaTheme="minorEastAsia" w:hAnsiTheme="minorHAnsi" w:cstheme="minorHAnsi"/>
                <w:sz w:val="16"/>
                <w:szCs w:val="16"/>
              </w:rPr>
              <w:t xml:space="preserve">la implementación </w:t>
            </w:r>
            <w:r w:rsidRPr="006D23C5">
              <w:rPr>
                <w:rFonts w:asciiTheme="minorHAnsi" w:eastAsiaTheme="minorEastAsia" w:hAnsiTheme="minorHAnsi" w:cstheme="minorHAnsi"/>
                <w:sz w:val="16"/>
                <w:szCs w:val="16"/>
              </w:rPr>
              <w:t>de 05 pilotos (3 parcelas por piloto) en los departamentos de San Martin, Loreto, Amazonas, Cajamarca y capacitación a sus Gobiernos regionales en la utilización del protocolo para el monitoreo de PIP que desarrollen acciones de recuperación.</w:t>
            </w:r>
            <w:r w:rsidR="00421D66" w:rsidRPr="006D23C5">
              <w:rPr>
                <w:rFonts w:asciiTheme="minorHAnsi" w:eastAsiaTheme="minorEastAsia" w:hAnsiTheme="minorHAnsi" w:cstheme="minorHAnsi"/>
                <w:sz w:val="16"/>
                <w:szCs w:val="16"/>
              </w:rPr>
              <w:t xml:space="preserve"> </w:t>
            </w:r>
          </w:p>
          <w:p w14:paraId="572B9E08" w14:textId="22817658" w:rsidR="00421D66" w:rsidRPr="00DE692F" w:rsidRDefault="00421D66" w:rsidP="00D85A90">
            <w:pPr>
              <w:spacing w:after="0"/>
              <w:jc w:val="left"/>
              <w:rPr>
                <w:rFonts w:asciiTheme="minorHAnsi" w:eastAsiaTheme="minorEastAsia" w:hAnsiTheme="minorHAnsi" w:cstheme="minorHAnsi"/>
                <w:sz w:val="16"/>
                <w:szCs w:val="16"/>
              </w:rPr>
            </w:pPr>
            <w:r w:rsidRPr="006D23C5">
              <w:rPr>
                <w:rFonts w:asciiTheme="minorHAnsi" w:eastAsiaTheme="minorEastAsia" w:hAnsiTheme="minorHAnsi" w:cstheme="minorHAnsi"/>
                <w:sz w:val="16"/>
                <w:szCs w:val="16"/>
              </w:rPr>
              <w:t>En ese mismo sentido, el 2026, se iniciará el trabajo para elaboración de la Guía de evaluación del estado de los ecosistemas de Bosque Altimontano</w:t>
            </w:r>
            <w:r w:rsidRPr="00421D66">
              <w:rPr>
                <w:rFonts w:asciiTheme="minorHAnsi" w:eastAsiaTheme="minorEastAsia" w:hAnsiTheme="minorHAnsi" w:cstheme="minorHAnsi"/>
                <w:sz w:val="16"/>
                <w:szCs w:val="16"/>
              </w:rPr>
              <w:t xml:space="preserve"> de yunga y Bosque de colina alta</w:t>
            </w:r>
            <w:r>
              <w:rPr>
                <w:rFonts w:asciiTheme="minorHAnsi" w:eastAsiaTheme="minorEastAsia" w:hAnsiTheme="minorHAnsi" w:cstheme="minorHAnsi"/>
                <w:sz w:val="16"/>
                <w:szCs w:val="16"/>
              </w:rPr>
              <w:t>, que servirá de insumo cuando se tenga el procedimiento de monitoreo de la restauración.</w:t>
            </w:r>
          </w:p>
        </w:tc>
      </w:tr>
      <w:tr w:rsidR="009B1DCD" w:rsidRPr="00DE692F" w14:paraId="2183F84C" w14:textId="77777777" w:rsidTr="00D61877">
        <w:trPr>
          <w:trHeight w:val="300"/>
        </w:trPr>
        <w:tc>
          <w:tcPr>
            <w:tcW w:w="746" w:type="pct"/>
            <w:vMerge w:val="restart"/>
            <w:vAlign w:val="center"/>
          </w:tcPr>
          <w:p w14:paraId="1FDA4EF8" w14:textId="1C0165C5"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lastRenderedPageBreak/>
              <w:t xml:space="preserve">Componente 4: </w:t>
            </w:r>
            <w:r w:rsidRPr="00DE692F">
              <w:rPr>
                <w:rFonts w:asciiTheme="majorHAnsi" w:hAnsiTheme="majorHAnsi" w:cstheme="majorHAnsi"/>
                <w:b/>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bCs/>
                <w:sz w:val="16"/>
                <w:szCs w:val="16"/>
              </w:rPr>
              <w:t>Coordinación, M&amp;E y Gestión del Conocimiento (GdC).</w:t>
            </w:r>
          </w:p>
          <w:p w14:paraId="7B6741C8" w14:textId="246BF265" w:rsidR="009B1DCD" w:rsidRPr="00DE692F" w:rsidRDefault="009B1DCD" w:rsidP="009B1DCD">
            <w:pPr>
              <w:spacing w:after="0"/>
              <w:rPr>
                <w:rFonts w:asciiTheme="majorHAnsi" w:hAnsiTheme="majorHAnsi" w:cstheme="majorHAnsi"/>
                <w:sz w:val="16"/>
                <w:szCs w:val="16"/>
              </w:rPr>
            </w:pPr>
            <w:r w:rsidRPr="00DE692F">
              <w:rPr>
                <w:rFonts w:asciiTheme="majorHAnsi" w:hAnsiTheme="majorHAnsi" w:cstheme="majorHAnsi"/>
                <w:b/>
                <w:bCs/>
                <w:sz w:val="16"/>
                <w:szCs w:val="16"/>
              </w:rPr>
              <w:t xml:space="preserve">Resultado 7: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Los resultados de los Componentes 1, 2 y 3 se logran exitosamente con el apoyo de la comunicación, capacitación y gestión</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 xml:space="preserve">del </w:t>
            </w:r>
            <w:r w:rsidRPr="00DE692F">
              <w:rPr>
                <w:rFonts w:asciiTheme="majorHAnsi" w:hAnsiTheme="majorHAnsi" w:cstheme="majorHAnsi"/>
                <w:color w:val="000000"/>
                <w:sz w:val="16"/>
                <w:szCs w:val="16"/>
              </w:rPr>
              <w:lastRenderedPageBreak/>
              <w:t>conocimiento, estrategias que se articulan con la Plataforma Global K2A de FOLUR; y Las prácticas exitosas se replican en otras regiones y apoyan las plataformas de CLD a nivel global.</w:t>
            </w:r>
          </w:p>
        </w:tc>
        <w:tc>
          <w:tcPr>
            <w:tcW w:w="555" w:type="pct"/>
            <w:vAlign w:val="center"/>
          </w:tcPr>
          <w:p w14:paraId="3E2D8E4B"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lastRenderedPageBreak/>
              <w:t>Indicador 16:</w:t>
            </w:r>
          </w:p>
          <w:p w14:paraId="435399AE" w14:textId="7B6A3AC3"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Número de eventos nacionales e internacionales donde se comparten las lecciones aprendidas de FOLUR </w:t>
            </w:r>
            <w:r w:rsidRPr="00DE692F">
              <w:rPr>
                <w:rFonts w:asciiTheme="majorHAnsi" w:hAnsiTheme="majorHAnsi" w:cstheme="majorHAnsi"/>
                <w:color w:val="000000"/>
                <w:sz w:val="16"/>
                <w:szCs w:val="16"/>
              </w:rPr>
              <w:lastRenderedPageBreak/>
              <w:t>(por ejemplo, CLD, adopción de buenas prácticas, incorporación del enfoque de género y otros) y contribuciones a la Plataforma Global de Conocimiento para la Acción (K2A) de FOLUR.</w:t>
            </w:r>
          </w:p>
        </w:tc>
        <w:tc>
          <w:tcPr>
            <w:tcW w:w="486" w:type="pct"/>
            <w:vAlign w:val="center"/>
          </w:tcPr>
          <w:p w14:paraId="793B8425" w14:textId="178BD3C8"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lastRenderedPageBreak/>
              <w:t xml:space="preserve">Hay varias plataformas de GdC. El MINAM está desarrollando un Sistema Integrado de Gestión de Recursos </w:t>
            </w:r>
            <w:r w:rsidRPr="00DE692F">
              <w:rPr>
                <w:rFonts w:asciiTheme="majorHAnsi" w:hAnsiTheme="majorHAnsi" w:cstheme="majorHAnsi"/>
                <w:color w:val="000000"/>
                <w:sz w:val="16"/>
                <w:szCs w:val="16"/>
              </w:rPr>
              <w:lastRenderedPageBreak/>
              <w:t>Naturales. Hay mesas redondas nacionales y regionales de diálogo sobre commodities (café, cacao y aceite de palma). Además, el IICA, el PNUD-GEF y el MIDAGRI, así como el ICRAF, están construyendo plataformas web de gestión del conocimiento para cacao y café. Estas plataformas aún no se han integrado a nivel nacional y tienen una conexión limitada a nivel mundial.</w:t>
            </w:r>
          </w:p>
        </w:tc>
        <w:tc>
          <w:tcPr>
            <w:tcW w:w="580" w:type="pct"/>
            <w:vAlign w:val="center"/>
          </w:tcPr>
          <w:p w14:paraId="1E00CC20"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Dos (02) eventos nacionales e internacionales a los que asistió FOLUR Perú para intercambiar lecciones aprendidas.</w:t>
            </w:r>
          </w:p>
          <w:p w14:paraId="7B497AC5" w14:textId="2FA9E562"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lastRenderedPageBreak/>
              <w:t>Los informes anuales de la Plataforma K2A de FOLUR incluyen contribuciones de FOLUR Perú, lo que demuestra que las plataformas nacionales de aprendizaje de CLD están conectadas tanto a nivel nacional como internacional, lo que facilita el intercambio de lecciones aprendidas y mejores prácticas.</w:t>
            </w:r>
          </w:p>
        </w:tc>
        <w:tc>
          <w:tcPr>
            <w:tcW w:w="565" w:type="pct"/>
            <w:vAlign w:val="center"/>
          </w:tcPr>
          <w:p w14:paraId="63B87826"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Seis (06) eventos nacionales e internacionales a los que asistió FOLUR Perú para intercambiar lecciones aprendidas.</w:t>
            </w:r>
          </w:p>
          <w:p w14:paraId="49566871" w14:textId="36E6327B"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lastRenderedPageBreak/>
              <w:t>Los informes anuales de la Plataforma K2A de FOLUR incluyen contribuciones de FOLUR Perú, lo que demuestra que las plataformas nacionales de aprendizaje de CLD están conectadas tanto a nivel nacional como internacional, lo que facilita el intercambio de lecciones aprendidas y mejores prácticas.</w:t>
            </w:r>
          </w:p>
        </w:tc>
        <w:tc>
          <w:tcPr>
            <w:tcW w:w="484" w:type="pct"/>
            <w:vAlign w:val="center"/>
          </w:tcPr>
          <w:p w14:paraId="4CF7D72B" w14:textId="202D04AF" w:rsidR="009B1DCD" w:rsidRPr="00DE692F" w:rsidRDefault="007575DE" w:rsidP="00535225">
            <w:pPr>
              <w:spacing w:after="0"/>
              <w:jc w:val="center"/>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47A0B437" w14:textId="7A33E674" w:rsidR="008962AA" w:rsidRPr="00DE692F" w:rsidRDefault="00532012" w:rsidP="008962AA">
            <w:pPr>
              <w:pStyle w:val="Default"/>
              <w:rPr>
                <w:rFonts w:asciiTheme="minorHAnsi" w:hAnsiTheme="minorHAnsi" w:cstheme="minorHAnsi"/>
                <w:sz w:val="16"/>
                <w:szCs w:val="16"/>
              </w:rPr>
            </w:pPr>
            <w:r w:rsidRPr="00DE692F">
              <w:rPr>
                <w:rFonts w:asciiTheme="minorHAnsi" w:hAnsiTheme="minorHAnsi" w:cstheme="minorHAnsi"/>
                <w:sz w:val="16"/>
                <w:szCs w:val="16"/>
              </w:rPr>
              <w:t>Completado</w:t>
            </w:r>
            <w:r w:rsidR="008962AA" w:rsidRPr="00DE692F">
              <w:rPr>
                <w:rFonts w:asciiTheme="minorHAnsi" w:hAnsiTheme="minorHAnsi" w:cstheme="minorHAnsi"/>
                <w:sz w:val="16"/>
                <w:szCs w:val="16"/>
              </w:rPr>
              <w:t xml:space="preserve">. </w:t>
            </w:r>
          </w:p>
          <w:p w14:paraId="5CA3A849" w14:textId="39288751" w:rsidR="009B1DCD" w:rsidRPr="00DE692F" w:rsidRDefault="006D23C5" w:rsidP="00532012">
            <w:pPr>
              <w:pStyle w:val="Default"/>
              <w:rPr>
                <w:rFonts w:asciiTheme="minorHAnsi" w:hAnsiTheme="minorHAnsi" w:cstheme="minorHAnsi"/>
                <w:sz w:val="16"/>
                <w:szCs w:val="16"/>
              </w:rPr>
            </w:pPr>
            <w:r w:rsidRPr="00C50270">
              <w:rPr>
                <w:rFonts w:asciiTheme="minorHAnsi" w:hAnsiTheme="minorHAnsi" w:cstheme="minorHAnsi"/>
                <w:sz w:val="16"/>
                <w:szCs w:val="16"/>
              </w:rPr>
              <w:t>3</w:t>
            </w:r>
            <w:r w:rsidR="008962AA" w:rsidRPr="00C50270">
              <w:rPr>
                <w:rFonts w:asciiTheme="minorHAnsi" w:hAnsiTheme="minorHAnsi" w:cstheme="minorHAnsi"/>
                <w:sz w:val="16"/>
                <w:szCs w:val="16"/>
              </w:rPr>
              <w:t xml:space="preserve"> eventos </w:t>
            </w:r>
            <w:r w:rsidR="00440C31" w:rsidRPr="00C50270">
              <w:rPr>
                <w:rFonts w:asciiTheme="minorHAnsi" w:hAnsiTheme="minorHAnsi" w:cstheme="minorHAnsi"/>
                <w:sz w:val="16"/>
                <w:szCs w:val="16"/>
              </w:rPr>
              <w:t xml:space="preserve">– </w:t>
            </w:r>
            <w:r w:rsidR="00DB14C7" w:rsidRPr="00C50270">
              <w:rPr>
                <w:rFonts w:asciiTheme="minorHAnsi" w:hAnsiTheme="minorHAnsi" w:cstheme="minorHAnsi"/>
                <w:sz w:val="16"/>
                <w:szCs w:val="16"/>
              </w:rPr>
              <w:t>50</w:t>
            </w:r>
            <w:r w:rsidR="00440C31" w:rsidRPr="00C50270">
              <w:rPr>
                <w:rFonts w:asciiTheme="minorHAnsi" w:hAnsiTheme="minorHAnsi" w:cstheme="minorHAnsi"/>
                <w:sz w:val="16"/>
                <w:szCs w:val="16"/>
              </w:rPr>
              <w:t>%</w:t>
            </w:r>
          </w:p>
          <w:p w14:paraId="63F6D16F" w14:textId="77777777" w:rsidR="00D045E5" w:rsidRPr="00DE692F" w:rsidRDefault="00D045E5" w:rsidP="00532012">
            <w:pPr>
              <w:pStyle w:val="Default"/>
              <w:rPr>
                <w:rFonts w:asciiTheme="minorHAnsi" w:hAnsiTheme="minorHAnsi" w:cstheme="minorHAnsi"/>
                <w:sz w:val="16"/>
                <w:szCs w:val="16"/>
              </w:rPr>
            </w:pPr>
          </w:p>
          <w:p w14:paraId="1B2728F1" w14:textId="28394C15" w:rsidR="002F650D" w:rsidRPr="002F650D" w:rsidRDefault="002F650D" w:rsidP="00D045E5">
            <w:pPr>
              <w:pStyle w:val="Default"/>
              <w:rPr>
                <w:rFonts w:asciiTheme="minorHAnsi" w:hAnsiTheme="minorHAnsi" w:cstheme="minorHAnsi"/>
                <w:sz w:val="16"/>
                <w:szCs w:val="16"/>
              </w:rPr>
            </w:pPr>
            <w:r w:rsidRPr="002F650D">
              <w:rPr>
                <w:rFonts w:asciiTheme="minorHAnsi" w:hAnsiTheme="minorHAnsi" w:cstheme="minorHAnsi"/>
                <w:sz w:val="16"/>
                <w:szCs w:val="16"/>
              </w:rPr>
              <w:t xml:space="preserve">Durante el 2025, se </w:t>
            </w:r>
            <w:r w:rsidR="00D31278">
              <w:rPr>
                <w:rFonts w:asciiTheme="minorHAnsi" w:hAnsiTheme="minorHAnsi" w:cstheme="minorHAnsi"/>
                <w:sz w:val="16"/>
                <w:szCs w:val="16"/>
              </w:rPr>
              <w:t>llevó</w:t>
            </w:r>
            <w:r w:rsidR="00D31278" w:rsidRPr="002F650D">
              <w:rPr>
                <w:rFonts w:asciiTheme="minorHAnsi" w:hAnsiTheme="minorHAnsi" w:cstheme="minorHAnsi"/>
                <w:sz w:val="16"/>
                <w:szCs w:val="16"/>
              </w:rPr>
              <w:t xml:space="preserve"> </w:t>
            </w:r>
            <w:r w:rsidRPr="002F650D">
              <w:rPr>
                <w:rFonts w:asciiTheme="minorHAnsi" w:hAnsiTheme="minorHAnsi" w:cstheme="minorHAnsi"/>
                <w:sz w:val="16"/>
                <w:szCs w:val="16"/>
              </w:rPr>
              <w:t>a cabo 2 eventos:</w:t>
            </w:r>
          </w:p>
          <w:p w14:paraId="61465708" w14:textId="77777777" w:rsidR="002F650D" w:rsidRDefault="002F650D" w:rsidP="00D045E5">
            <w:pPr>
              <w:pStyle w:val="Default"/>
              <w:rPr>
                <w:rFonts w:asciiTheme="minorHAnsi" w:hAnsiTheme="minorHAnsi" w:cstheme="minorHAnsi"/>
                <w:b/>
                <w:bCs/>
                <w:sz w:val="16"/>
                <w:szCs w:val="16"/>
                <w:u w:val="single"/>
              </w:rPr>
            </w:pPr>
          </w:p>
          <w:p w14:paraId="365FDAD6" w14:textId="1ECC3558" w:rsidR="00D045E5" w:rsidRPr="00DE692F" w:rsidRDefault="00D045E5" w:rsidP="00D045E5">
            <w:pPr>
              <w:pStyle w:val="Default"/>
              <w:rPr>
                <w:rFonts w:asciiTheme="minorHAnsi" w:hAnsiTheme="minorHAnsi" w:cstheme="minorHAnsi"/>
                <w:b/>
                <w:bCs/>
                <w:sz w:val="16"/>
                <w:szCs w:val="16"/>
                <w:u w:val="single"/>
              </w:rPr>
            </w:pPr>
            <w:r w:rsidRPr="00DE692F">
              <w:rPr>
                <w:rFonts w:asciiTheme="minorHAnsi" w:hAnsiTheme="minorHAnsi" w:cstheme="minorHAnsi"/>
                <w:b/>
                <w:bCs/>
                <w:sz w:val="16"/>
                <w:szCs w:val="16"/>
                <w:u w:val="single"/>
              </w:rPr>
              <w:t>Nombre del evento: Primer Taller Regional del Programa FOLUR en América Latina y el Caribe</w:t>
            </w:r>
          </w:p>
          <w:p w14:paraId="3CDEB917"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t>Fechas:</w:t>
            </w:r>
            <w:r w:rsidRPr="00DE692F">
              <w:rPr>
                <w:rFonts w:asciiTheme="minorHAnsi" w:hAnsiTheme="minorHAnsi" w:cstheme="minorHAnsi"/>
                <w:sz w:val="16"/>
                <w:szCs w:val="16"/>
              </w:rPr>
              <w:t xml:space="preserve"> Del 7 al 11 de abril de 2025</w:t>
            </w:r>
          </w:p>
          <w:p w14:paraId="074B4EAF" w14:textId="3709515F"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lastRenderedPageBreak/>
              <w:t>Objetivos:</w:t>
            </w:r>
            <w:r w:rsidRPr="00DE692F">
              <w:rPr>
                <w:rFonts w:asciiTheme="minorHAnsi" w:hAnsiTheme="minorHAnsi" w:cstheme="minorHAnsi"/>
                <w:sz w:val="16"/>
                <w:szCs w:val="16"/>
              </w:rPr>
              <w:t xml:space="preserve"> Fortalecimiento de la gestión del conocimiento y la articulación regional del Proyecto FOLUR Perú.</w:t>
            </w:r>
          </w:p>
          <w:p w14:paraId="6F164D8A"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Promover la participación en espacios de intercambio técnico y aprendizaje entre pares.</w:t>
            </w:r>
          </w:p>
          <w:p w14:paraId="45A9894A"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Visibilizar avances, recoger experiencias replicables y alinear esfuerzos frente a desafíos compartidos en la región.</w:t>
            </w:r>
          </w:p>
          <w:p w14:paraId="1404B3ED"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Reunir a los equipos técnicos de los seis proyectos FOLUR implementados en la región, así como a representantes de agencias implementadoras y socios estratégicos.</w:t>
            </w:r>
          </w:p>
          <w:p w14:paraId="13774EFC"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Reflexionar sobre los avances en la implementación del programa, identificar desafíos comunes y explorar oportunidades de colaboración regional.</w:t>
            </w:r>
          </w:p>
          <w:p w14:paraId="631DE2C0"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Generar un espacio de aprendizaje colectivo y fortalecimiento de capacidades entre equipos nacionales.</w:t>
            </w:r>
          </w:p>
          <w:p w14:paraId="0C90CB5A"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Promover el diálogo técnico entre pares, la identificación de desafíos comunes y la construcción de una comunidad regional de práctica FOLUR.</w:t>
            </w:r>
          </w:p>
          <w:p w14:paraId="29D5E8E1"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Avanzar hacia una mayor articulación entre proyectos, el intercambio de herramientas y el impulso de procesos de escalamiento y sostenibilidad territorial.</w:t>
            </w:r>
          </w:p>
          <w:p w14:paraId="0E53C786" w14:textId="77777777" w:rsidR="00D045E5" w:rsidRPr="00DE692F" w:rsidRDefault="00D045E5" w:rsidP="00D045E5">
            <w:pPr>
              <w:pStyle w:val="Default"/>
              <w:rPr>
                <w:rFonts w:asciiTheme="minorHAnsi" w:hAnsiTheme="minorHAnsi" w:cstheme="minorHAnsi"/>
                <w:b/>
                <w:bCs/>
                <w:sz w:val="16"/>
                <w:szCs w:val="16"/>
              </w:rPr>
            </w:pPr>
            <w:r w:rsidRPr="00DE692F">
              <w:rPr>
                <w:rFonts w:asciiTheme="minorHAnsi" w:hAnsiTheme="minorHAnsi" w:cstheme="minorHAnsi"/>
                <w:b/>
                <w:bCs/>
                <w:sz w:val="16"/>
                <w:szCs w:val="16"/>
              </w:rPr>
              <w:t>Participantes:</w:t>
            </w:r>
          </w:p>
          <w:p w14:paraId="3F1A139B"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Equipos técnicos de los seis proyectos FOLUR implementados en la región: Paraguay, Perú, México, Brasil, Guatemala y Colombia.</w:t>
            </w:r>
          </w:p>
          <w:p w14:paraId="666EF66D"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Representantes del Banco Mundial.</w:t>
            </w:r>
          </w:p>
          <w:p w14:paraId="49F09AA0"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Representantes del Fondo para el Medio Ambiente Mundial (FMAM).</w:t>
            </w:r>
          </w:p>
          <w:p w14:paraId="03181692"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Aliados estratégicos.</w:t>
            </w:r>
          </w:p>
          <w:p w14:paraId="4E26A279"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Representantes de agencias implementadoras.</w:t>
            </w:r>
          </w:p>
          <w:p w14:paraId="3B33E815" w14:textId="5693EFB8"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Delegación del Proyecto FOLUR Perú conformada por Karina Santos (Coordinadora Nacional del Proyecto), Carlos Sánchez (</w:t>
            </w:r>
            <w:r w:rsidR="00CE23E1" w:rsidRPr="00DE692F">
              <w:rPr>
                <w:rFonts w:asciiTheme="minorHAnsi" w:hAnsiTheme="minorHAnsi" w:cstheme="minorHAnsi"/>
                <w:sz w:val="16"/>
                <w:szCs w:val="16"/>
              </w:rPr>
              <w:t>responsable</w:t>
            </w:r>
            <w:r w:rsidRPr="00DE692F">
              <w:rPr>
                <w:rFonts w:asciiTheme="minorHAnsi" w:hAnsiTheme="minorHAnsi" w:cstheme="minorHAnsi"/>
                <w:sz w:val="16"/>
                <w:szCs w:val="16"/>
              </w:rPr>
              <w:t xml:space="preserve"> del Componente 3) y Stefany Mimbela (</w:t>
            </w:r>
            <w:r w:rsidR="00CE23E1" w:rsidRPr="00DE692F">
              <w:rPr>
                <w:rFonts w:asciiTheme="minorHAnsi" w:hAnsiTheme="minorHAnsi" w:cstheme="minorHAnsi"/>
                <w:sz w:val="16"/>
                <w:szCs w:val="16"/>
              </w:rPr>
              <w:t>responsable</w:t>
            </w:r>
            <w:r w:rsidRPr="00DE692F">
              <w:rPr>
                <w:rFonts w:asciiTheme="minorHAnsi" w:hAnsiTheme="minorHAnsi" w:cstheme="minorHAnsi"/>
                <w:sz w:val="16"/>
                <w:szCs w:val="16"/>
              </w:rPr>
              <w:t xml:space="preserve"> del Componente 4).</w:t>
            </w:r>
          </w:p>
          <w:p w14:paraId="2789367F" w14:textId="3C7AE998"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t>Materiales preparados y entregados:</w:t>
            </w:r>
            <w:r w:rsidRPr="00DE692F">
              <w:rPr>
                <w:rFonts w:asciiTheme="minorHAnsi" w:hAnsiTheme="minorHAnsi" w:cstheme="minorHAnsi"/>
                <w:sz w:val="16"/>
                <w:szCs w:val="16"/>
              </w:rPr>
              <w:t xml:space="preserve"> </w:t>
            </w:r>
          </w:p>
          <w:p w14:paraId="55FC6287"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Agenda: Agenda completa del taller regional.</w:t>
            </w:r>
          </w:p>
          <w:p w14:paraId="4E5CBE51"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Fotografías del evento: Fotografías de la participación de la delegación peruana.</w:t>
            </w:r>
          </w:p>
          <w:p w14:paraId="56FE0B22"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Presentaciones: Presentaciones y documentos técnicos del taller.</w:t>
            </w:r>
          </w:p>
          <w:p w14:paraId="51E84512"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La delegación del Proyecto FOLUR Perú realizó la presentación del estado de avance nacional y presentó los avances del primer año de implementación durante las clínicas de proyectos.</w:t>
            </w:r>
          </w:p>
          <w:p w14:paraId="0370E892" w14:textId="77777777" w:rsidR="00D045E5" w:rsidRPr="00DE692F" w:rsidRDefault="00D045E5" w:rsidP="00D045E5">
            <w:pPr>
              <w:pStyle w:val="Default"/>
              <w:rPr>
                <w:rFonts w:asciiTheme="minorHAnsi" w:hAnsiTheme="minorHAnsi" w:cstheme="minorHAnsi"/>
                <w:sz w:val="16"/>
                <w:szCs w:val="16"/>
              </w:rPr>
            </w:pPr>
          </w:p>
          <w:p w14:paraId="124AC7A9" w14:textId="77777777" w:rsidR="00D045E5" w:rsidRPr="00DE692F" w:rsidRDefault="00D045E5" w:rsidP="00D045E5">
            <w:pPr>
              <w:pStyle w:val="Default"/>
              <w:rPr>
                <w:rFonts w:asciiTheme="minorHAnsi" w:hAnsiTheme="minorHAnsi" w:cstheme="minorHAnsi"/>
                <w:b/>
                <w:bCs/>
                <w:sz w:val="16"/>
                <w:szCs w:val="16"/>
                <w:u w:val="single"/>
              </w:rPr>
            </w:pPr>
            <w:r w:rsidRPr="00DE692F">
              <w:rPr>
                <w:rFonts w:asciiTheme="minorHAnsi" w:hAnsiTheme="minorHAnsi" w:cstheme="minorHAnsi"/>
                <w:b/>
                <w:bCs/>
                <w:sz w:val="16"/>
                <w:szCs w:val="16"/>
                <w:u w:val="single"/>
              </w:rPr>
              <w:lastRenderedPageBreak/>
              <w:t>Nombre del evento: Plenaria "Innovación para la trazabilidad: soluciones tecnológicas en cadenas de valor de café y cacao libres de deforestación"</w:t>
            </w:r>
          </w:p>
          <w:p w14:paraId="2A15EC12" w14:textId="29DE3F85"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t>Fecha:</w:t>
            </w:r>
            <w:r w:rsidRPr="00DE692F">
              <w:rPr>
                <w:rFonts w:asciiTheme="minorHAnsi" w:hAnsiTheme="minorHAnsi" w:cstheme="minorHAnsi"/>
                <w:sz w:val="16"/>
                <w:szCs w:val="16"/>
              </w:rPr>
              <w:t xml:space="preserve"> 11 de junio de 2025</w:t>
            </w:r>
          </w:p>
          <w:p w14:paraId="260E30ED" w14:textId="77777777" w:rsidR="00D045E5" w:rsidRPr="00DE692F" w:rsidRDefault="00D045E5" w:rsidP="00D045E5">
            <w:pPr>
              <w:pStyle w:val="Default"/>
              <w:rPr>
                <w:rFonts w:asciiTheme="minorHAnsi" w:hAnsiTheme="minorHAnsi" w:cstheme="minorHAnsi"/>
                <w:sz w:val="16"/>
                <w:szCs w:val="16"/>
              </w:rPr>
            </w:pPr>
          </w:p>
          <w:p w14:paraId="53C28641" w14:textId="471E612E"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t xml:space="preserve">Objetivos: </w:t>
            </w:r>
            <w:r w:rsidRPr="00DE692F">
              <w:rPr>
                <w:rFonts w:asciiTheme="minorHAnsi" w:hAnsiTheme="minorHAnsi" w:cstheme="minorHAnsi"/>
                <w:sz w:val="16"/>
                <w:szCs w:val="16"/>
              </w:rPr>
              <w:t>Visibilizar soluciones tecnológicas aplicadas a la trazabilidad.</w:t>
            </w:r>
          </w:p>
          <w:p w14:paraId="68A55E07"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Promover el diálogo multiactor.</w:t>
            </w:r>
          </w:p>
          <w:p w14:paraId="2B151A65"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Recoger insumos que contribuyan a una trazabilidad sostenible, interoperable e inclusiva en la Amazonía peruana.</w:t>
            </w:r>
          </w:p>
          <w:p w14:paraId="63A26516"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Construir una visión compartida sobre los elementos necesarios para fortalecer los procesos de trazabilidad impulsados desde distintos sectores.</w:t>
            </w:r>
          </w:p>
          <w:p w14:paraId="093C2AB6" w14:textId="701D6A91"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b/>
                <w:bCs/>
                <w:sz w:val="16"/>
                <w:szCs w:val="16"/>
              </w:rPr>
              <w:t xml:space="preserve">Participantes: </w:t>
            </w:r>
            <w:r w:rsidRPr="00DE692F">
              <w:rPr>
                <w:rFonts w:asciiTheme="minorHAnsi" w:hAnsiTheme="minorHAnsi" w:cstheme="minorHAnsi"/>
                <w:sz w:val="16"/>
                <w:szCs w:val="16"/>
              </w:rPr>
              <w:t>Más de 100 representantes de:</w:t>
            </w:r>
          </w:p>
          <w:p w14:paraId="643F433C"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Organizaciones productoras.</w:t>
            </w:r>
          </w:p>
          <w:p w14:paraId="6A033AB2"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Entidades del sector público.</w:t>
            </w:r>
          </w:p>
          <w:p w14:paraId="18EFC011"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Empresa privada.</w:t>
            </w:r>
          </w:p>
          <w:p w14:paraId="40A81A40"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Cooperación internacional.</w:t>
            </w:r>
          </w:p>
          <w:p w14:paraId="0C03ED6F"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Academia.</w:t>
            </w:r>
          </w:p>
          <w:p w14:paraId="0DB8692F"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Sociedad civil.</w:t>
            </w:r>
          </w:p>
          <w:p w14:paraId="52C5CD48" w14:textId="20ADB13D" w:rsidR="00D045E5" w:rsidRPr="00DE692F" w:rsidRDefault="00D045E5" w:rsidP="00D045E5">
            <w:pPr>
              <w:pStyle w:val="Default"/>
              <w:rPr>
                <w:rFonts w:asciiTheme="minorHAnsi" w:hAnsiTheme="minorHAnsi" w:cstheme="minorHAnsi"/>
                <w:b/>
                <w:bCs/>
                <w:sz w:val="16"/>
                <w:szCs w:val="16"/>
              </w:rPr>
            </w:pPr>
            <w:r w:rsidRPr="00DE692F">
              <w:rPr>
                <w:rFonts w:asciiTheme="minorHAnsi" w:hAnsiTheme="minorHAnsi" w:cstheme="minorHAnsi"/>
                <w:b/>
                <w:bCs/>
                <w:sz w:val="16"/>
                <w:szCs w:val="16"/>
              </w:rPr>
              <w:t>Materiales preparados y entregados:</w:t>
            </w:r>
          </w:p>
          <w:p w14:paraId="09611941"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Agenda: Plenaria Innovación para la trazabilidad.</w:t>
            </w:r>
          </w:p>
          <w:p w14:paraId="6D127AC6"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Lista de asistencia y Lista de participantes inscritos.</w:t>
            </w:r>
          </w:p>
          <w:p w14:paraId="78FCE58D"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Presentación utilizada en la plenaria.</w:t>
            </w:r>
          </w:p>
          <w:p w14:paraId="18FF5A85"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Sistematización del evento: Relatoría técnica - Formato base.</w:t>
            </w:r>
          </w:p>
          <w:p w14:paraId="17406361"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Ficha técnica del evento.</w:t>
            </w:r>
          </w:p>
          <w:p w14:paraId="4C96CFA6" w14:textId="77777777" w:rsidR="00D045E5" w:rsidRPr="00DE692F" w:rsidRDefault="00D045E5" w:rsidP="00D045E5">
            <w:pPr>
              <w:pStyle w:val="Default"/>
              <w:rPr>
                <w:rFonts w:asciiTheme="minorHAnsi" w:hAnsiTheme="minorHAnsi" w:cstheme="minorHAnsi"/>
                <w:sz w:val="16"/>
                <w:szCs w:val="16"/>
              </w:rPr>
            </w:pPr>
            <w:r w:rsidRPr="00DE692F">
              <w:rPr>
                <w:rFonts w:asciiTheme="minorHAnsi" w:hAnsiTheme="minorHAnsi" w:cstheme="minorHAnsi"/>
                <w:sz w:val="16"/>
                <w:szCs w:val="16"/>
              </w:rPr>
              <w:t>Fotografías del evento.</w:t>
            </w:r>
          </w:p>
          <w:p w14:paraId="5B067359" w14:textId="6A501F43" w:rsidR="00E42CB2" w:rsidRPr="00DE692F" w:rsidRDefault="00E42CB2" w:rsidP="00F157BA">
            <w:pPr>
              <w:pStyle w:val="Default"/>
              <w:rPr>
                <w:rFonts w:asciiTheme="minorHAnsi" w:hAnsiTheme="minorHAnsi" w:cstheme="minorHAnsi"/>
                <w:sz w:val="16"/>
                <w:szCs w:val="16"/>
              </w:rPr>
            </w:pPr>
          </w:p>
        </w:tc>
      </w:tr>
      <w:tr w:rsidR="009B1DCD" w:rsidRPr="00DE692F" w14:paraId="16D8A370" w14:textId="77777777" w:rsidTr="00D61877">
        <w:trPr>
          <w:trHeight w:val="300"/>
        </w:trPr>
        <w:tc>
          <w:tcPr>
            <w:tcW w:w="746" w:type="pct"/>
            <w:vMerge/>
            <w:vAlign w:val="center"/>
          </w:tcPr>
          <w:p w14:paraId="5AF529DC" w14:textId="63D1DC8E" w:rsidR="009B1DCD" w:rsidRPr="00DE692F" w:rsidRDefault="009B1DCD" w:rsidP="009B1DCD">
            <w:pPr>
              <w:spacing w:after="0"/>
              <w:rPr>
                <w:rFonts w:asciiTheme="majorHAnsi" w:hAnsiTheme="majorHAnsi" w:cstheme="majorHAnsi"/>
                <w:sz w:val="16"/>
                <w:szCs w:val="16"/>
              </w:rPr>
            </w:pPr>
          </w:p>
        </w:tc>
        <w:tc>
          <w:tcPr>
            <w:tcW w:w="555" w:type="pct"/>
            <w:vAlign w:val="center"/>
          </w:tcPr>
          <w:p w14:paraId="267218F0"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t>Indicador 17:</w:t>
            </w:r>
          </w:p>
          <w:p w14:paraId="023387E8" w14:textId="77777777"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Número de estrategias para mejorar la articulación y acceso al mercado de productores de CLD, facilitando su participación en </w:t>
            </w:r>
            <w:r w:rsidRPr="00DE692F">
              <w:rPr>
                <w:rFonts w:asciiTheme="majorHAnsi" w:hAnsiTheme="majorHAnsi" w:cstheme="majorHAnsi"/>
                <w:color w:val="000000"/>
                <w:sz w:val="16"/>
                <w:szCs w:val="16"/>
              </w:rPr>
              <w:lastRenderedPageBreak/>
              <w:t>eventos comerciales nacionales e internacionales anuales (ferias de commodities, mesas redondas, conferencias de CLD y mecanismos de comercio bilateral).</w:t>
            </w:r>
          </w:p>
          <w:p w14:paraId="0A53CE11" w14:textId="00BBF411" w:rsidR="009B1DCD" w:rsidRPr="00DE692F" w:rsidRDefault="009B1DCD" w:rsidP="009B1DCD">
            <w:pPr>
              <w:pBdr>
                <w:top w:val="nil"/>
                <w:left w:val="nil"/>
                <w:bottom w:val="nil"/>
                <w:right w:val="nil"/>
                <w:between w:val="nil"/>
              </w:pBdr>
              <w:shd w:val="clear" w:color="auto" w:fill="FFFFFF"/>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Informes anuales de monitoreo de las exportaciones de CLD (toneladas) por commoditie en la jurisdicción del Proyecto.</w:t>
            </w:r>
          </w:p>
        </w:tc>
        <w:tc>
          <w:tcPr>
            <w:tcW w:w="486" w:type="pct"/>
            <w:vAlign w:val="center"/>
          </w:tcPr>
          <w:p w14:paraId="421EA93E" w14:textId="7777777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lastRenderedPageBreak/>
              <w:t>0.</w:t>
            </w:r>
          </w:p>
          <w:p w14:paraId="4C15204A" w14:textId="41D151F5"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t xml:space="preserve">Productores de commodities (cooperativas y asociaciones) están participando aleatoriamente en ferias internacionales de </w:t>
            </w:r>
            <w:r w:rsidRPr="00DE692F">
              <w:rPr>
                <w:rFonts w:asciiTheme="majorHAnsi" w:hAnsiTheme="majorHAnsi" w:cstheme="majorHAnsi"/>
                <w:color w:val="000000"/>
                <w:sz w:val="16"/>
                <w:szCs w:val="16"/>
              </w:rPr>
              <w:lastRenderedPageBreak/>
              <w:t>commodities y eventos relacionados, con la finalidad de promover y negociar CLD certificados peruanos. Se cuenta con información sistematizada y recursos financieros limitados para la promoción de CLD (por ejemplo, a través de PROMPERU)</w:t>
            </w:r>
          </w:p>
        </w:tc>
        <w:tc>
          <w:tcPr>
            <w:tcW w:w="580" w:type="pct"/>
            <w:vAlign w:val="center"/>
          </w:tcPr>
          <w:p w14:paraId="17E15DEB"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Dos (02) estrategias diseñadas para mejorar la vinculación y el acceso a los mercados de los productores de CLD.</w:t>
            </w:r>
          </w:p>
          <w:p w14:paraId="3BDCD0EB"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t xml:space="preserve">Dos (02) informes de monitoreo de las exportaciones de CLD </w:t>
            </w:r>
            <w:r w:rsidRPr="00DE692F">
              <w:rPr>
                <w:rFonts w:asciiTheme="minorHAnsi" w:hAnsiTheme="minorHAnsi" w:cstheme="minorHAnsi"/>
                <w:color w:val="000000"/>
                <w:sz w:val="16"/>
                <w:szCs w:val="16"/>
              </w:rPr>
              <w:lastRenderedPageBreak/>
              <w:t>(en toneladas) por producto dentro de la jurisdicción del proyecto</w:t>
            </w:r>
          </w:p>
          <w:p w14:paraId="6184A6F9" w14:textId="23D1BF2A" w:rsidR="009B1DCD" w:rsidRPr="00DE692F" w:rsidRDefault="009B1DCD" w:rsidP="009B1DCD">
            <w:pPr>
              <w:spacing w:after="0"/>
              <w:jc w:val="left"/>
              <w:rPr>
                <w:rFonts w:asciiTheme="minorHAnsi" w:eastAsiaTheme="minorEastAsia" w:hAnsiTheme="minorHAnsi" w:cstheme="minorHAnsi"/>
                <w:sz w:val="16"/>
                <w:szCs w:val="16"/>
              </w:rPr>
            </w:pPr>
          </w:p>
        </w:tc>
        <w:tc>
          <w:tcPr>
            <w:tcW w:w="565" w:type="pct"/>
            <w:vAlign w:val="center"/>
          </w:tcPr>
          <w:p w14:paraId="558474D4" w14:textId="77777777" w:rsidR="009B1DCD" w:rsidRPr="00DE692F" w:rsidRDefault="009B1DCD" w:rsidP="009B1DCD">
            <w:pPr>
              <w:pBdr>
                <w:top w:val="nil"/>
                <w:left w:val="nil"/>
                <w:bottom w:val="nil"/>
                <w:right w:val="nil"/>
                <w:between w:val="nil"/>
              </w:pBdr>
              <w:jc w:val="left"/>
              <w:rPr>
                <w:rFonts w:asciiTheme="minorHAnsi" w:hAnsiTheme="minorHAnsi" w:cstheme="minorHAnsi"/>
                <w:color w:val="000000"/>
                <w:sz w:val="16"/>
                <w:szCs w:val="16"/>
              </w:rPr>
            </w:pPr>
            <w:r w:rsidRPr="00DE692F">
              <w:rPr>
                <w:rFonts w:asciiTheme="minorHAnsi" w:hAnsiTheme="minorHAnsi" w:cstheme="minorHAnsi"/>
                <w:color w:val="000000"/>
                <w:sz w:val="16"/>
                <w:szCs w:val="16"/>
              </w:rPr>
              <w:lastRenderedPageBreak/>
              <w:t xml:space="preserve">Dos (02) estrategias implementadas para mejorar la vinculación y el acceso a los mercados de los productores de CLD, incluyendo la participación en ferias de commodities, </w:t>
            </w:r>
            <w:r w:rsidRPr="00DE692F">
              <w:rPr>
                <w:rFonts w:asciiTheme="minorHAnsi" w:hAnsiTheme="minorHAnsi" w:cstheme="minorHAnsi"/>
                <w:color w:val="000000"/>
                <w:sz w:val="16"/>
                <w:szCs w:val="16"/>
              </w:rPr>
              <w:lastRenderedPageBreak/>
              <w:t>mesas redondas, eventos de encuentros de negocios, conferencias, mecanismos de comercio bilateral y otras iniciativas.</w:t>
            </w:r>
          </w:p>
          <w:p w14:paraId="55FA6766" w14:textId="5582D583"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Seis (06) informes anuales de monitoreo de las exportaciones de CLD (en toneladas) por producto dentro de la jurisdicción del proyecto, incluyendo análisis de tendencias.</w:t>
            </w:r>
          </w:p>
        </w:tc>
        <w:tc>
          <w:tcPr>
            <w:tcW w:w="484" w:type="pct"/>
            <w:vAlign w:val="center"/>
          </w:tcPr>
          <w:p w14:paraId="39069478" w14:textId="3D8440AD" w:rsidR="009B1DCD" w:rsidRPr="00DE692F" w:rsidRDefault="007575DE"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lastRenderedPageBreak/>
              <w:t>3</w:t>
            </w:r>
          </w:p>
        </w:tc>
        <w:tc>
          <w:tcPr>
            <w:tcW w:w="1585" w:type="pct"/>
            <w:vAlign w:val="center"/>
          </w:tcPr>
          <w:p w14:paraId="6C7C3004" w14:textId="77777777"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734AFABE" w14:textId="660AEDA5" w:rsidR="008962AA" w:rsidRPr="00DE692F" w:rsidRDefault="00563B18" w:rsidP="008962AA">
            <w:pPr>
              <w:pStyle w:val="Default"/>
              <w:rPr>
                <w:rFonts w:asciiTheme="minorHAnsi" w:hAnsiTheme="minorHAnsi" w:cstheme="minorHAnsi"/>
                <w:sz w:val="16"/>
                <w:szCs w:val="16"/>
              </w:rPr>
            </w:pPr>
            <w:r>
              <w:rPr>
                <w:rFonts w:asciiTheme="minorHAnsi" w:hAnsiTheme="minorHAnsi" w:cstheme="minorHAnsi"/>
                <w:sz w:val="16"/>
                <w:szCs w:val="16"/>
              </w:rPr>
              <w:t>0</w:t>
            </w:r>
            <w:r w:rsidR="008962AA" w:rsidRPr="00DE692F">
              <w:rPr>
                <w:rFonts w:asciiTheme="minorHAnsi" w:hAnsiTheme="minorHAnsi" w:cstheme="minorHAnsi"/>
                <w:sz w:val="16"/>
                <w:szCs w:val="16"/>
              </w:rPr>
              <w:t xml:space="preserve"> </w:t>
            </w:r>
            <w:r w:rsidR="00440C31" w:rsidRPr="00DE692F">
              <w:rPr>
                <w:rFonts w:asciiTheme="minorHAnsi" w:hAnsiTheme="minorHAnsi" w:cstheme="minorHAnsi"/>
                <w:sz w:val="16"/>
                <w:szCs w:val="16"/>
              </w:rPr>
              <w:t>estrategia</w:t>
            </w:r>
            <w:r>
              <w:rPr>
                <w:rFonts w:asciiTheme="minorHAnsi" w:hAnsiTheme="minorHAnsi" w:cstheme="minorHAnsi"/>
                <w:sz w:val="16"/>
                <w:szCs w:val="16"/>
              </w:rPr>
              <w:t>s implementada</w:t>
            </w:r>
            <w:r w:rsidR="00C02DB0">
              <w:rPr>
                <w:rFonts w:asciiTheme="minorHAnsi" w:hAnsiTheme="minorHAnsi" w:cstheme="minorHAnsi"/>
                <w:sz w:val="16"/>
                <w:szCs w:val="16"/>
              </w:rPr>
              <w:t>s</w:t>
            </w:r>
            <w:r w:rsidR="00304F38">
              <w:rPr>
                <w:rStyle w:val="Refdenotaalpie"/>
                <w:rFonts w:cstheme="minorHAnsi"/>
                <w:szCs w:val="16"/>
              </w:rPr>
              <w:footnoteReference w:id="10"/>
            </w:r>
          </w:p>
          <w:p w14:paraId="530749E7" w14:textId="7ED75580" w:rsidR="009B1DCD" w:rsidRPr="00DE692F" w:rsidRDefault="008962AA" w:rsidP="008962AA">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Este indicador y resultado se alcanzará </w:t>
            </w:r>
            <w:r w:rsidR="00881A0B">
              <w:rPr>
                <w:rFonts w:asciiTheme="minorHAnsi" w:hAnsiTheme="minorHAnsi" w:cstheme="minorHAnsi"/>
                <w:sz w:val="16"/>
                <w:szCs w:val="16"/>
              </w:rPr>
              <w:t>en el plazo esperado</w:t>
            </w:r>
            <w:r w:rsidRPr="00DE692F">
              <w:rPr>
                <w:rFonts w:asciiTheme="minorHAnsi" w:hAnsiTheme="minorHAnsi" w:cstheme="minorHAnsi"/>
                <w:sz w:val="16"/>
                <w:szCs w:val="16"/>
              </w:rPr>
              <w:t xml:space="preserve">. </w:t>
            </w:r>
          </w:p>
          <w:p w14:paraId="0E733E61" w14:textId="77777777" w:rsidR="00FE19AB" w:rsidRPr="00DE692F" w:rsidRDefault="00FE19AB" w:rsidP="008962AA">
            <w:pPr>
              <w:spacing w:after="0"/>
              <w:jc w:val="left"/>
              <w:rPr>
                <w:rFonts w:asciiTheme="minorHAnsi" w:hAnsiTheme="minorHAnsi" w:cstheme="minorHAnsi"/>
                <w:sz w:val="16"/>
                <w:szCs w:val="16"/>
              </w:rPr>
            </w:pPr>
          </w:p>
          <w:p w14:paraId="6958DF0A" w14:textId="396533CB" w:rsidR="00FE19AB" w:rsidRPr="00DE692F" w:rsidRDefault="00237B0B" w:rsidP="00FE19AB">
            <w:pPr>
              <w:spacing w:after="0"/>
              <w:jc w:val="left"/>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Se espera que la </w:t>
            </w:r>
            <w:r w:rsidR="00FE19AB" w:rsidRPr="00DE692F">
              <w:rPr>
                <w:rFonts w:asciiTheme="minorHAnsi" w:eastAsiaTheme="minorEastAsia" w:hAnsiTheme="minorHAnsi" w:cstheme="minorHAnsi"/>
                <w:sz w:val="16"/>
                <w:szCs w:val="16"/>
              </w:rPr>
              <w:t xml:space="preserve">Estrategia de Articulación y Acceso a Mercados del Proyecto “Cadenas de Valor Libres de Deforestación en la Amazonía Peruana” (FOLUR) </w:t>
            </w:r>
            <w:r>
              <w:rPr>
                <w:rFonts w:asciiTheme="minorHAnsi" w:eastAsiaTheme="minorEastAsia" w:hAnsiTheme="minorHAnsi" w:cstheme="minorHAnsi"/>
                <w:sz w:val="16"/>
                <w:szCs w:val="16"/>
              </w:rPr>
              <w:t>sea</w:t>
            </w:r>
            <w:r w:rsidR="00FE19AB" w:rsidRPr="00DE692F">
              <w:rPr>
                <w:rFonts w:asciiTheme="minorHAnsi" w:eastAsiaTheme="minorEastAsia" w:hAnsiTheme="minorHAnsi" w:cstheme="minorHAnsi"/>
                <w:sz w:val="16"/>
                <w:szCs w:val="16"/>
              </w:rPr>
              <w:t xml:space="preserve"> un instrumento orientador que organiza y da coherencia a las acciones para fortalecer, de manera progresiva y sostenible, la inserción comercial </w:t>
            </w:r>
            <w:r w:rsidR="00FE19AB" w:rsidRPr="00DE692F">
              <w:rPr>
                <w:rFonts w:asciiTheme="minorHAnsi" w:eastAsiaTheme="minorEastAsia" w:hAnsiTheme="minorHAnsi" w:cstheme="minorHAnsi"/>
                <w:sz w:val="16"/>
                <w:szCs w:val="16"/>
              </w:rPr>
              <w:t xml:space="preserve">de productores y productoras de </w:t>
            </w:r>
            <w:r w:rsidR="00FE19AB" w:rsidRPr="00DE692F">
              <w:rPr>
                <w:rFonts w:asciiTheme="minorHAnsi" w:eastAsiaTheme="minorEastAsia" w:hAnsiTheme="minorHAnsi" w:cstheme="minorHAnsi"/>
                <w:sz w:val="16"/>
                <w:szCs w:val="16"/>
              </w:rPr>
              <w:lastRenderedPageBreak/>
              <w:t>café y cacao libres de deforestación. Su objetivo es promover la participación efectiva en mercados nacionales e internacionales, el establecimiento de vínculos comerciales sostenibles y el posicionamiento de productos amazónicos con atributos ambientales, sociales y culturales</w:t>
            </w:r>
            <w:r w:rsidR="003A5830">
              <w:rPr>
                <w:rFonts w:asciiTheme="minorHAnsi" w:eastAsiaTheme="minorEastAsia" w:hAnsiTheme="minorHAnsi" w:cstheme="minorHAnsi"/>
                <w:sz w:val="16"/>
                <w:szCs w:val="16"/>
              </w:rPr>
              <w:t>, esta estrategia se viene desarrollando de la mano de MINCETUR, PRODUCE y MINAM.</w:t>
            </w:r>
          </w:p>
          <w:p w14:paraId="45543B5C" w14:textId="77777777" w:rsidR="00FE19AB" w:rsidRPr="00DE692F" w:rsidRDefault="00FE19AB" w:rsidP="00FE19AB">
            <w:pPr>
              <w:spacing w:after="0"/>
              <w:jc w:val="left"/>
              <w:rPr>
                <w:rFonts w:asciiTheme="minorHAnsi" w:eastAsiaTheme="minorEastAsia" w:hAnsiTheme="minorHAnsi" w:cstheme="minorHAnsi"/>
                <w:sz w:val="16"/>
                <w:szCs w:val="16"/>
              </w:rPr>
            </w:pPr>
          </w:p>
          <w:p w14:paraId="0E33E8A8" w14:textId="269A3BC3" w:rsidR="00FE19AB" w:rsidRPr="00DE692F" w:rsidRDefault="00FE19AB" w:rsidP="00FE19AB">
            <w:pPr>
              <w:spacing w:after="0"/>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La estrategia se </w:t>
            </w:r>
            <w:r w:rsidRPr="00DE692F">
              <w:rPr>
                <w:rFonts w:asciiTheme="minorHAnsi" w:eastAsiaTheme="minorEastAsia" w:hAnsiTheme="minorHAnsi" w:cstheme="minorHAnsi"/>
                <w:sz w:val="16"/>
                <w:szCs w:val="16"/>
              </w:rPr>
              <w:t>estructura</w:t>
            </w:r>
            <w:r w:rsidR="00CD363C">
              <w:rPr>
                <w:rFonts w:asciiTheme="minorHAnsi" w:eastAsiaTheme="minorEastAsia" w:hAnsiTheme="minorHAnsi" w:cstheme="minorHAnsi"/>
                <w:sz w:val="16"/>
                <w:szCs w:val="16"/>
              </w:rPr>
              <w:t>rá</w:t>
            </w:r>
            <w:r w:rsidRPr="00DE692F">
              <w:rPr>
                <w:rFonts w:asciiTheme="minorHAnsi" w:eastAsiaTheme="minorEastAsia" w:hAnsiTheme="minorHAnsi" w:cstheme="minorHAnsi"/>
                <w:sz w:val="16"/>
                <w:szCs w:val="16"/>
              </w:rPr>
              <w:t xml:space="preserve"> en cuatro líneas: fortalecimiento de capacidades comerciales y organizativas; facilitación de la participación en ferias, ruedas de negocio y plataformas comerciales; articulación institucional </w:t>
            </w:r>
            <w:r w:rsidRPr="00DE692F">
              <w:rPr>
                <w:rFonts w:asciiTheme="minorHAnsi" w:eastAsiaTheme="minorEastAsia" w:hAnsiTheme="minorHAnsi" w:cstheme="minorHAnsi"/>
                <w:sz w:val="16"/>
                <w:szCs w:val="16"/>
              </w:rPr>
              <w:t xml:space="preserve">y comercial multiactor; y aprendizaje para la mejora continua y el escalamiento. En la práctica, se han desarrollado procesos de preparación comercial (requisitos de mercado, estándares de sostenibilidad, trazabilidad y narrativa basada en evidencia), apoyo logístico y financiero para la participación en eventos, criterios transparentes de priorización y acompañamiento, así como alianzas estratégicas con entidades públicas, plataformas de promoción comercial, mesas técnicas regionales y actores del mercado. </w:t>
            </w:r>
          </w:p>
          <w:p w14:paraId="2BA40CF0" w14:textId="77777777" w:rsidR="00FE19AB" w:rsidRPr="00DE692F" w:rsidRDefault="00FE19AB" w:rsidP="00FE19AB">
            <w:pPr>
              <w:spacing w:after="0"/>
              <w:jc w:val="left"/>
              <w:rPr>
                <w:rFonts w:asciiTheme="minorHAnsi" w:eastAsiaTheme="minorEastAsia" w:hAnsiTheme="minorHAnsi" w:cstheme="minorHAnsi"/>
                <w:sz w:val="16"/>
                <w:szCs w:val="16"/>
              </w:rPr>
            </w:pPr>
          </w:p>
          <w:p w14:paraId="4C7A9CA7" w14:textId="40AF14A2" w:rsidR="00FE19AB" w:rsidRPr="00DE692F" w:rsidRDefault="00FE19AB" w:rsidP="00FE19AB">
            <w:pPr>
              <w:spacing w:after="0"/>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La estrategia involucra</w:t>
            </w:r>
            <w:r w:rsidR="00CD363C">
              <w:rPr>
                <w:rFonts w:asciiTheme="minorHAnsi" w:eastAsiaTheme="minorEastAsia" w:hAnsiTheme="minorHAnsi" w:cstheme="minorHAnsi"/>
                <w:sz w:val="16"/>
                <w:szCs w:val="16"/>
              </w:rPr>
              <w:t>rá</w:t>
            </w:r>
            <w:r w:rsidRPr="00DE692F">
              <w:rPr>
                <w:rFonts w:asciiTheme="minorHAnsi" w:eastAsiaTheme="minorEastAsia" w:hAnsiTheme="minorHAnsi" w:cstheme="minorHAnsi"/>
                <w:sz w:val="16"/>
                <w:szCs w:val="16"/>
              </w:rPr>
              <w:t xml:space="preserve"> a organizaciones de productores, plataformas multiactor territoriales, instituciones públicas nacionales, regionales y locales, sector privado, compradores y aliados estratégicos nacionales e internacionales. Está formalizada en el documento “Estrategia de Articulación y Acceso a Mercados – Proyecto FOLUR” y se enmarca en los enfoques del PNUD y del FMAM, que reconocen el acceso a mercados como un habilitador clave para la sostenibilidad de modelos productivos libres de deforestación.</w:t>
            </w:r>
          </w:p>
        </w:tc>
      </w:tr>
      <w:tr w:rsidR="009B1DCD" w:rsidRPr="00DE692F" w14:paraId="11E97ED8" w14:textId="77777777" w:rsidTr="00D61877">
        <w:trPr>
          <w:trHeight w:val="300"/>
        </w:trPr>
        <w:tc>
          <w:tcPr>
            <w:tcW w:w="746" w:type="pct"/>
            <w:vAlign w:val="center"/>
          </w:tcPr>
          <w:p w14:paraId="03BC239B" w14:textId="1BB91E03" w:rsidR="009B1DCD" w:rsidRPr="00DE692F" w:rsidRDefault="009B1DCD" w:rsidP="009B1DCD">
            <w:pPr>
              <w:pStyle w:val="Default"/>
              <w:jc w:val="both"/>
              <w:rPr>
                <w:rFonts w:asciiTheme="majorHAnsi" w:hAnsiTheme="majorHAnsi" w:cstheme="majorHAnsi"/>
                <w:sz w:val="16"/>
                <w:szCs w:val="16"/>
              </w:rPr>
            </w:pPr>
            <w:r w:rsidRPr="00DE692F">
              <w:rPr>
                <w:rFonts w:asciiTheme="majorHAnsi" w:hAnsiTheme="majorHAnsi" w:cstheme="majorHAnsi"/>
                <w:b/>
                <w:bCs/>
                <w:sz w:val="16"/>
                <w:szCs w:val="16"/>
              </w:rPr>
              <w:lastRenderedPageBreak/>
              <w:t xml:space="preserve">Componente 4: </w:t>
            </w:r>
            <w:r w:rsidRPr="00DE692F">
              <w:rPr>
                <w:rFonts w:asciiTheme="majorHAnsi" w:hAnsiTheme="majorHAnsi" w:cstheme="majorHAnsi"/>
                <w:bCs/>
                <w:sz w:val="16"/>
                <w:szCs w:val="16"/>
              </w:rPr>
              <w:t>Coordinación, M&amp;E y Gestión del Conocimiento (GdC).</w:t>
            </w:r>
          </w:p>
          <w:p w14:paraId="58CC848A" w14:textId="5C5DE094" w:rsidR="009B1DCD" w:rsidRPr="00DE692F" w:rsidRDefault="009B1DCD" w:rsidP="009B1DCD">
            <w:pPr>
              <w:spacing w:after="0"/>
              <w:rPr>
                <w:rFonts w:asciiTheme="majorHAnsi" w:hAnsiTheme="majorHAnsi" w:cstheme="majorHAnsi"/>
                <w:sz w:val="16"/>
                <w:szCs w:val="16"/>
              </w:rPr>
            </w:pPr>
            <w:r w:rsidRPr="00DE692F">
              <w:rPr>
                <w:rFonts w:asciiTheme="majorHAnsi" w:hAnsiTheme="majorHAnsi" w:cstheme="majorHAnsi"/>
                <w:b/>
                <w:bCs/>
                <w:sz w:val="16"/>
                <w:szCs w:val="16"/>
              </w:rPr>
              <w:t xml:space="preserve">Resultado 8: </w:t>
            </w:r>
            <w:r w:rsidRPr="00DE692F">
              <w:rPr>
                <w:rFonts w:asciiTheme="majorHAnsi" w:hAnsiTheme="majorHAnsi" w:cstheme="majorHAnsi"/>
                <w:color w:val="000000"/>
                <w:sz w:val="16"/>
                <w:szCs w:val="16"/>
              </w:rPr>
              <w:t xml:space="preserve">  </w:t>
            </w:r>
            <w:r w:rsidRPr="00DE692F">
              <w:rPr>
                <w:rFonts w:asciiTheme="majorHAnsi" w:hAnsiTheme="majorHAnsi" w:cstheme="majorHAnsi"/>
                <w:sz w:val="16"/>
                <w:szCs w:val="16"/>
              </w:rPr>
              <w:t xml:space="preserve">   </w:t>
            </w:r>
            <w:r w:rsidRPr="00DE692F">
              <w:rPr>
                <w:rFonts w:asciiTheme="majorHAnsi" w:hAnsiTheme="majorHAnsi" w:cstheme="majorHAnsi"/>
                <w:color w:val="000000"/>
                <w:sz w:val="16"/>
                <w:szCs w:val="16"/>
              </w:rPr>
              <w:t xml:space="preserve">El empoderamiento con equilibrio de género y los tomadores de decisiones informados mejoran la gobernanza de los CLD en las instituciones locales, regionales y nacionales y en los </w:t>
            </w:r>
            <w:r w:rsidRPr="00DE692F">
              <w:rPr>
                <w:rFonts w:asciiTheme="majorHAnsi" w:hAnsiTheme="majorHAnsi" w:cstheme="majorHAnsi"/>
                <w:color w:val="000000"/>
                <w:sz w:val="16"/>
                <w:szCs w:val="16"/>
              </w:rPr>
              <w:lastRenderedPageBreak/>
              <w:t>actores de la cadena de suministro.</w:t>
            </w:r>
          </w:p>
        </w:tc>
        <w:tc>
          <w:tcPr>
            <w:tcW w:w="555" w:type="pct"/>
            <w:vAlign w:val="center"/>
          </w:tcPr>
          <w:p w14:paraId="0BC9BD66" w14:textId="77777777" w:rsidR="009B1DCD" w:rsidRPr="00DE692F" w:rsidRDefault="009B1DCD" w:rsidP="009B1DCD">
            <w:pPr>
              <w:pBdr>
                <w:top w:val="nil"/>
                <w:left w:val="nil"/>
                <w:bottom w:val="nil"/>
                <w:right w:val="nil"/>
                <w:between w:val="nil"/>
              </w:pBdr>
              <w:jc w:val="left"/>
              <w:rPr>
                <w:rFonts w:asciiTheme="majorHAnsi" w:hAnsiTheme="majorHAnsi" w:cstheme="majorHAnsi"/>
                <w:b/>
                <w:color w:val="000000"/>
                <w:sz w:val="16"/>
                <w:szCs w:val="16"/>
              </w:rPr>
            </w:pPr>
            <w:r w:rsidRPr="00DE692F">
              <w:rPr>
                <w:rFonts w:asciiTheme="majorHAnsi" w:hAnsiTheme="majorHAnsi" w:cstheme="majorHAnsi"/>
                <w:b/>
                <w:color w:val="000000"/>
                <w:sz w:val="16"/>
                <w:szCs w:val="16"/>
              </w:rPr>
              <w:lastRenderedPageBreak/>
              <w:t>Indicador 18:</w:t>
            </w:r>
          </w:p>
          <w:p w14:paraId="39058052" w14:textId="74B77E07" w:rsidR="009B1DCD" w:rsidRPr="00DE692F" w:rsidRDefault="009B1DCD" w:rsidP="009B1DCD">
            <w:pPr>
              <w:pBdr>
                <w:top w:val="nil"/>
                <w:left w:val="nil"/>
                <w:bottom w:val="nil"/>
                <w:right w:val="nil"/>
                <w:between w:val="nil"/>
              </w:pBdr>
              <w:jc w:val="left"/>
              <w:rPr>
                <w:rFonts w:asciiTheme="majorHAnsi" w:hAnsiTheme="majorHAnsi" w:cstheme="majorHAnsi"/>
                <w:color w:val="000000"/>
                <w:sz w:val="16"/>
                <w:szCs w:val="16"/>
              </w:rPr>
            </w:pPr>
            <w:r w:rsidRPr="00DE692F">
              <w:rPr>
                <w:rFonts w:asciiTheme="majorHAnsi" w:hAnsiTheme="majorHAnsi" w:cstheme="majorHAnsi"/>
                <w:color w:val="000000"/>
                <w:sz w:val="16"/>
                <w:szCs w:val="16"/>
              </w:rPr>
              <w:t xml:space="preserve">Número de personas (al menos 30% mujeres) de instituciones públicas, sector privado, cooperativas, pueblos indígenas, comunidades locales y otras partes interesadas que son </w:t>
            </w:r>
            <w:r w:rsidRPr="00DE692F">
              <w:rPr>
                <w:rFonts w:asciiTheme="majorHAnsi" w:hAnsiTheme="majorHAnsi" w:cstheme="majorHAnsi"/>
                <w:color w:val="000000"/>
                <w:sz w:val="16"/>
                <w:szCs w:val="16"/>
              </w:rPr>
              <w:lastRenderedPageBreak/>
              <w:t xml:space="preserve">conscientes y utilizan las soluciones que propone el proyecto para contribuir a la producción sostenible de CLD que reduzca la deforestación y degradación de la tierra, mejorando la toma de decisiones con enfoque de género e interculturalidad. </w:t>
            </w:r>
          </w:p>
        </w:tc>
        <w:tc>
          <w:tcPr>
            <w:tcW w:w="486" w:type="pct"/>
            <w:vAlign w:val="center"/>
          </w:tcPr>
          <w:p w14:paraId="231889A1" w14:textId="101864DF" w:rsidR="009B1DCD" w:rsidRPr="00DE692F" w:rsidRDefault="009B1DCD" w:rsidP="009B1DCD">
            <w:pPr>
              <w:spacing w:after="0"/>
              <w:jc w:val="left"/>
              <w:rPr>
                <w:rFonts w:asciiTheme="majorHAnsi" w:eastAsiaTheme="minorEastAsia" w:hAnsiTheme="majorHAnsi" w:cstheme="majorHAnsi"/>
                <w:b/>
                <w:bCs/>
                <w:sz w:val="16"/>
                <w:szCs w:val="16"/>
              </w:rPr>
            </w:pPr>
            <w:r w:rsidRPr="00DE692F">
              <w:rPr>
                <w:rFonts w:asciiTheme="majorHAnsi" w:hAnsiTheme="majorHAnsi" w:cstheme="majorHAnsi"/>
                <w:color w:val="000000"/>
                <w:sz w:val="16"/>
                <w:szCs w:val="16"/>
              </w:rPr>
              <w:lastRenderedPageBreak/>
              <w:t>Actualmente no se dispone de información de referencia. Se diseñarán instrumentos para recopilar datos y la información de referencia se actualizará antes del PIR de 2025.</w:t>
            </w:r>
          </w:p>
        </w:tc>
        <w:tc>
          <w:tcPr>
            <w:tcW w:w="580" w:type="pct"/>
            <w:vAlign w:val="center"/>
          </w:tcPr>
          <w:p w14:paraId="7F64B608" w14:textId="10FC98F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El 10% de los beneficiarios del proyecto (al menos un 30% son mujeres) son conscientes y utilizan las soluciones propuestas por el proyecto.</w:t>
            </w:r>
          </w:p>
        </w:tc>
        <w:tc>
          <w:tcPr>
            <w:tcW w:w="565" w:type="pct"/>
            <w:vAlign w:val="center"/>
          </w:tcPr>
          <w:p w14:paraId="5C0205E0" w14:textId="45855C9A" w:rsidR="009B1DCD" w:rsidRPr="00DE692F" w:rsidRDefault="009B1DCD" w:rsidP="009B1DCD">
            <w:pPr>
              <w:spacing w:after="0"/>
              <w:jc w:val="left"/>
              <w:rPr>
                <w:rFonts w:asciiTheme="minorHAnsi" w:eastAsiaTheme="minorEastAsia" w:hAnsiTheme="minorHAnsi" w:cstheme="minorHAnsi"/>
                <w:sz w:val="16"/>
                <w:szCs w:val="16"/>
              </w:rPr>
            </w:pPr>
            <w:r w:rsidRPr="00DE692F">
              <w:rPr>
                <w:rFonts w:asciiTheme="minorHAnsi" w:hAnsiTheme="minorHAnsi" w:cstheme="minorHAnsi"/>
                <w:color w:val="000000"/>
                <w:sz w:val="16"/>
                <w:szCs w:val="16"/>
              </w:rPr>
              <w:t>El 50% de los beneficiarios del proyecto (al menos un 30% son mujeres) son conscientes y utilizan las soluciones propuestas por el proyecto.</w:t>
            </w:r>
          </w:p>
        </w:tc>
        <w:tc>
          <w:tcPr>
            <w:tcW w:w="484" w:type="pct"/>
            <w:vAlign w:val="center"/>
          </w:tcPr>
          <w:p w14:paraId="55A85B39" w14:textId="3CB3F22C" w:rsidR="009B1DCD" w:rsidRPr="00DE692F" w:rsidRDefault="000039F8" w:rsidP="009B1DCD">
            <w:pPr>
              <w:spacing w:after="0"/>
              <w:jc w:val="left"/>
              <w:rPr>
                <w:rFonts w:asciiTheme="majorHAnsi" w:eastAsiaTheme="minorEastAsia" w:hAnsiTheme="majorHAnsi" w:cstheme="majorHAnsi"/>
                <w:sz w:val="16"/>
                <w:szCs w:val="16"/>
              </w:rPr>
            </w:pPr>
            <w:r w:rsidRPr="00DE692F">
              <w:rPr>
                <w:rFonts w:asciiTheme="majorHAnsi" w:eastAsiaTheme="minorEastAsia" w:hAnsiTheme="majorHAnsi" w:cstheme="majorHAnsi"/>
                <w:sz w:val="16"/>
                <w:szCs w:val="16"/>
              </w:rPr>
              <w:t>3</w:t>
            </w:r>
          </w:p>
        </w:tc>
        <w:tc>
          <w:tcPr>
            <w:tcW w:w="1585" w:type="pct"/>
            <w:vAlign w:val="center"/>
          </w:tcPr>
          <w:p w14:paraId="372F3F10" w14:textId="77777777"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 xml:space="preserve">En progreso. </w:t>
            </w:r>
          </w:p>
          <w:p w14:paraId="2A931325" w14:textId="20BBB046" w:rsidR="008962AA" w:rsidRPr="00DE692F" w:rsidRDefault="008962AA" w:rsidP="008962AA">
            <w:pPr>
              <w:pStyle w:val="Default"/>
              <w:rPr>
                <w:rFonts w:asciiTheme="minorHAnsi" w:hAnsiTheme="minorHAnsi" w:cstheme="minorHAnsi"/>
                <w:sz w:val="16"/>
                <w:szCs w:val="16"/>
              </w:rPr>
            </w:pPr>
            <w:r w:rsidRPr="00DE692F">
              <w:rPr>
                <w:rFonts w:asciiTheme="minorHAnsi" w:hAnsiTheme="minorHAnsi" w:cstheme="minorHAnsi"/>
                <w:sz w:val="16"/>
                <w:szCs w:val="16"/>
              </w:rPr>
              <w:t>0</w:t>
            </w:r>
            <w:r w:rsidR="00440C31" w:rsidRPr="00DE692F">
              <w:rPr>
                <w:rFonts w:asciiTheme="minorHAnsi" w:hAnsiTheme="minorHAnsi" w:cstheme="minorHAnsi"/>
                <w:sz w:val="16"/>
                <w:szCs w:val="16"/>
              </w:rPr>
              <w:t>% de los beneficiarios – 0%</w:t>
            </w:r>
          </w:p>
          <w:p w14:paraId="65136D85" w14:textId="7A80BC53" w:rsidR="009B1DCD" w:rsidRPr="00DE692F" w:rsidRDefault="008962AA" w:rsidP="008962AA">
            <w:pPr>
              <w:spacing w:after="0"/>
              <w:jc w:val="left"/>
              <w:rPr>
                <w:rFonts w:asciiTheme="minorHAnsi" w:hAnsiTheme="minorHAnsi" w:cstheme="minorHAnsi"/>
                <w:sz w:val="16"/>
                <w:szCs w:val="16"/>
              </w:rPr>
            </w:pPr>
            <w:r w:rsidRPr="00DE692F">
              <w:rPr>
                <w:rFonts w:asciiTheme="minorHAnsi" w:hAnsiTheme="minorHAnsi" w:cstheme="minorHAnsi"/>
                <w:sz w:val="16"/>
                <w:szCs w:val="16"/>
              </w:rPr>
              <w:t xml:space="preserve">Este indicador y resultado se alcanzará en </w:t>
            </w:r>
            <w:r w:rsidR="007435A7">
              <w:rPr>
                <w:rFonts w:asciiTheme="minorHAnsi" w:hAnsiTheme="minorHAnsi" w:cstheme="minorHAnsi"/>
                <w:sz w:val="16"/>
                <w:szCs w:val="16"/>
              </w:rPr>
              <w:t>el plazo esperado</w:t>
            </w:r>
            <w:r w:rsidRPr="00DE692F">
              <w:rPr>
                <w:rFonts w:asciiTheme="minorHAnsi" w:hAnsiTheme="minorHAnsi" w:cstheme="minorHAnsi"/>
                <w:sz w:val="16"/>
                <w:szCs w:val="16"/>
              </w:rPr>
              <w:t xml:space="preserve">. </w:t>
            </w:r>
          </w:p>
          <w:p w14:paraId="5CFFEF33" w14:textId="4B664FE9" w:rsidR="00927356" w:rsidRDefault="00F55AAD" w:rsidP="008962AA">
            <w:pPr>
              <w:spacing w:after="0"/>
              <w:jc w:val="left"/>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Durante el 2025, se concluyó la elaboración de la línea base del proyecto, la cual está en revisión. La información generada en este estudio, establece </w:t>
            </w:r>
            <w:r w:rsidR="000B1A0F">
              <w:rPr>
                <w:rFonts w:asciiTheme="minorHAnsi" w:eastAsiaTheme="minorEastAsia" w:hAnsiTheme="minorHAnsi" w:cstheme="minorHAnsi"/>
                <w:sz w:val="16"/>
                <w:szCs w:val="16"/>
              </w:rPr>
              <w:t>un punto de partida para todos los indicadores del proyecto, así como realizar ajustes a las estrategias que se vienen implementando.</w:t>
            </w:r>
          </w:p>
          <w:p w14:paraId="36C07F89" w14:textId="5D294EA3" w:rsidR="00927356" w:rsidRPr="00DE692F" w:rsidRDefault="000B1A0F" w:rsidP="00E20648">
            <w:pPr>
              <w:spacing w:after="0"/>
              <w:jc w:val="left"/>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Por otro lado, </w:t>
            </w:r>
            <w:r w:rsidR="00E20648">
              <w:rPr>
                <w:rFonts w:asciiTheme="minorHAnsi" w:eastAsiaTheme="minorEastAsia" w:hAnsiTheme="minorHAnsi" w:cstheme="minorHAnsi"/>
                <w:sz w:val="16"/>
                <w:szCs w:val="16"/>
              </w:rPr>
              <w:t>se elaboraron t</w:t>
            </w:r>
            <w:r w:rsidR="00927356" w:rsidRPr="00DE692F">
              <w:rPr>
                <w:rFonts w:asciiTheme="minorHAnsi" w:eastAsiaTheme="minorEastAsia" w:hAnsiTheme="minorHAnsi" w:cstheme="minorHAnsi"/>
                <w:sz w:val="16"/>
                <w:szCs w:val="16"/>
              </w:rPr>
              <w:t xml:space="preserve">érminos de referencia </w:t>
            </w:r>
            <w:r w:rsidR="00E20648">
              <w:rPr>
                <w:rFonts w:asciiTheme="minorHAnsi" w:eastAsiaTheme="minorEastAsia" w:hAnsiTheme="minorHAnsi" w:cstheme="minorHAnsi"/>
                <w:sz w:val="16"/>
                <w:szCs w:val="16"/>
              </w:rPr>
              <w:t>para el</w:t>
            </w:r>
            <w:r w:rsidR="00927356" w:rsidRPr="00DE692F">
              <w:rPr>
                <w:rFonts w:asciiTheme="minorHAnsi" w:eastAsiaTheme="minorEastAsia" w:hAnsiTheme="minorHAnsi" w:cstheme="minorHAnsi"/>
                <w:sz w:val="16"/>
                <w:szCs w:val="16"/>
              </w:rPr>
              <w:t xml:space="preserve"> diseño e implementación de la metodología CAP para medir el nivel de conciencia de las partes interesadas sobre las soluciones propuestas por el Proyecto FOLUR, que tiene como objetivo diseñar, validar e </w:t>
            </w:r>
            <w:r w:rsidR="00927356" w:rsidRPr="00DE692F">
              <w:rPr>
                <w:rFonts w:asciiTheme="minorHAnsi" w:eastAsiaTheme="minorEastAsia" w:hAnsiTheme="minorHAnsi" w:cstheme="minorHAnsi"/>
                <w:sz w:val="16"/>
                <w:szCs w:val="16"/>
              </w:rPr>
              <w:lastRenderedPageBreak/>
              <w:t xml:space="preserve">implementar integralmente una metodología basada en CAP (Conocimientos, Actitudes y Prácticas) y herramientas que permitan medir cuántas personas son conscientes y utilizan las soluciones promovidas por el proyecto FOLUR para mejorar las prácticas sostenibles en las cadenas de valor de café y cacao, contribuyendo así a reducir la deforestación y degradación, y a una toma de decisiones más informada y con enfoque de género e interculturalidad. Este estudio se tendrá en el primer semestre del año 2026. </w:t>
            </w:r>
          </w:p>
        </w:tc>
      </w:tr>
    </w:tbl>
    <w:p w14:paraId="1AD72687" w14:textId="4477944A" w:rsidR="582CB6FB" w:rsidRPr="00DE692F" w:rsidRDefault="582CB6FB" w:rsidP="582CB6FB">
      <w:pPr>
        <w:ind w:left="270"/>
        <w:rPr>
          <w:rFonts w:asciiTheme="minorHAnsi" w:eastAsiaTheme="minorEastAsia" w:hAnsiTheme="minorHAnsi" w:cstheme="minorBidi"/>
          <w:b/>
          <w:bCs/>
          <w:sz w:val="20"/>
          <w:szCs w:val="20"/>
        </w:rPr>
      </w:pPr>
    </w:p>
    <w:p w14:paraId="22F90F64" w14:textId="0EFD8EBC" w:rsidR="007A7BF0" w:rsidRPr="00DE692F" w:rsidRDefault="78958753" w:rsidP="582CB6FB">
      <w:pPr>
        <w:ind w:left="270"/>
        <w:rPr>
          <w:rFonts w:asciiTheme="minorHAnsi" w:eastAsiaTheme="minorEastAsia" w:hAnsiTheme="minorHAnsi" w:cstheme="minorBidi"/>
          <w:b/>
          <w:bCs/>
          <w:sz w:val="20"/>
          <w:szCs w:val="20"/>
        </w:rPr>
      </w:pPr>
      <w:r w:rsidRPr="00DE692F">
        <w:rPr>
          <w:rFonts w:asciiTheme="minorHAnsi" w:eastAsiaTheme="minorEastAsia" w:hAnsiTheme="minorHAnsi" w:cstheme="minorBidi"/>
          <w:b/>
          <w:bCs/>
          <w:sz w:val="20"/>
          <w:szCs w:val="20"/>
        </w:rPr>
        <w:t>Escala de Valoración:</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gridCol w:w="1436"/>
      </w:tblGrid>
      <w:tr w:rsidR="31BDC04C" w:rsidRPr="00DE692F" w14:paraId="58E4D50B" w14:textId="77777777" w:rsidTr="0E949999">
        <w:trPr>
          <w:trHeight w:val="214"/>
        </w:trPr>
        <w:tc>
          <w:tcPr>
            <w:tcW w:w="8460" w:type="dxa"/>
          </w:tcPr>
          <w:p w14:paraId="0B35B5BB" w14:textId="77777777" w:rsidR="31BDC04C" w:rsidRPr="00DE692F" w:rsidRDefault="78958753" w:rsidP="0E949999">
            <w:pPr>
              <w:jc w:val="center"/>
              <w:rPr>
                <w:rFonts w:asciiTheme="minorHAnsi" w:eastAsiaTheme="minorEastAsia" w:hAnsiTheme="minorHAnsi" w:cstheme="minorBidi"/>
                <w:b/>
                <w:bCs/>
                <w:sz w:val="20"/>
                <w:szCs w:val="20"/>
                <w:highlight w:val="yellow"/>
              </w:rPr>
            </w:pPr>
            <w:r w:rsidRPr="00DE692F">
              <w:rPr>
                <w:rFonts w:asciiTheme="minorHAnsi" w:eastAsiaTheme="minorEastAsia" w:hAnsiTheme="minorHAnsi" w:cstheme="minorBidi"/>
                <w:b/>
                <w:bCs/>
                <w:sz w:val="20"/>
                <w:szCs w:val="20"/>
              </w:rPr>
              <w:t>Criterios de valoración</w:t>
            </w:r>
          </w:p>
        </w:tc>
        <w:tc>
          <w:tcPr>
            <w:tcW w:w="1436" w:type="dxa"/>
          </w:tcPr>
          <w:p w14:paraId="6CC107FA" w14:textId="77777777" w:rsidR="31BDC04C" w:rsidRPr="00DE692F" w:rsidRDefault="78958753" w:rsidP="78958753">
            <w:pPr>
              <w:jc w:val="cente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Valoración</w:t>
            </w:r>
          </w:p>
        </w:tc>
      </w:tr>
      <w:tr w:rsidR="31BDC04C" w:rsidRPr="00DE692F" w14:paraId="110CA5A1" w14:textId="77777777" w:rsidTr="0E949999">
        <w:trPr>
          <w:trHeight w:val="203"/>
        </w:trPr>
        <w:tc>
          <w:tcPr>
            <w:tcW w:w="8460" w:type="dxa"/>
          </w:tcPr>
          <w:p w14:paraId="5BF4EEA3" w14:textId="07C67279" w:rsidR="31BDC04C" w:rsidRPr="00DE692F" w:rsidRDefault="78958753" w:rsidP="78958753">
            <w:pPr>
              <w:jc w:val="left"/>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No se espera lograr la meta</w:t>
            </w:r>
            <w:r w:rsidR="005842C3" w:rsidRPr="00DE692F">
              <w:rPr>
                <w:rFonts w:asciiTheme="minorHAnsi" w:eastAsiaTheme="minorEastAsia" w:hAnsiTheme="minorHAnsi" w:cstheme="minorHAnsi"/>
                <w:bCs/>
                <w:sz w:val="20"/>
                <w:szCs w:val="20"/>
              </w:rPr>
              <w:t>.</w:t>
            </w:r>
          </w:p>
        </w:tc>
        <w:tc>
          <w:tcPr>
            <w:tcW w:w="1436" w:type="dxa"/>
          </w:tcPr>
          <w:p w14:paraId="330DD5C7" w14:textId="77777777" w:rsidR="31BDC04C" w:rsidRPr="00DE692F" w:rsidRDefault="78958753" w:rsidP="78958753">
            <w:pPr>
              <w:jc w:val="center"/>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1</w:t>
            </w:r>
          </w:p>
        </w:tc>
      </w:tr>
      <w:tr w:rsidR="31BDC04C" w:rsidRPr="00DE692F" w14:paraId="4362BCE3" w14:textId="77777777" w:rsidTr="0E949999">
        <w:trPr>
          <w:trHeight w:val="214"/>
        </w:trPr>
        <w:tc>
          <w:tcPr>
            <w:tcW w:w="8460" w:type="dxa"/>
          </w:tcPr>
          <w:p w14:paraId="36DF9250" w14:textId="632238B0" w:rsidR="31BDC04C" w:rsidRPr="00DE692F" w:rsidRDefault="78958753" w:rsidP="78958753">
            <w:pPr>
              <w:jc w:val="left"/>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Se espera lograr la meta, pero fuera de los plazos esperados</w:t>
            </w:r>
            <w:r w:rsidR="00ED08A6" w:rsidRPr="00DE692F">
              <w:rPr>
                <w:rFonts w:asciiTheme="minorHAnsi" w:eastAsiaTheme="minorEastAsia" w:hAnsiTheme="minorHAnsi" w:cstheme="minorHAnsi"/>
                <w:bCs/>
                <w:sz w:val="20"/>
                <w:szCs w:val="20"/>
              </w:rPr>
              <w:t>.</w:t>
            </w:r>
          </w:p>
        </w:tc>
        <w:tc>
          <w:tcPr>
            <w:tcW w:w="1436" w:type="dxa"/>
          </w:tcPr>
          <w:p w14:paraId="524E7710" w14:textId="77777777" w:rsidR="31BDC04C" w:rsidRPr="00DE692F" w:rsidRDefault="78958753" w:rsidP="78958753">
            <w:pPr>
              <w:jc w:val="center"/>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2</w:t>
            </w:r>
          </w:p>
        </w:tc>
      </w:tr>
      <w:tr w:rsidR="31BDC04C" w:rsidRPr="00DE692F" w14:paraId="02988CE3" w14:textId="77777777" w:rsidTr="0E949999">
        <w:trPr>
          <w:trHeight w:val="67"/>
        </w:trPr>
        <w:tc>
          <w:tcPr>
            <w:tcW w:w="8460" w:type="dxa"/>
          </w:tcPr>
          <w:p w14:paraId="014B4D00" w14:textId="32E5A2A3" w:rsidR="31BDC04C" w:rsidRPr="00DE692F" w:rsidRDefault="78958753" w:rsidP="78958753">
            <w:pPr>
              <w:jc w:val="left"/>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Se espera lograr la meta en los plazos esperados</w:t>
            </w:r>
            <w:r w:rsidR="00ED08A6" w:rsidRPr="00DE692F">
              <w:rPr>
                <w:rFonts w:asciiTheme="minorHAnsi" w:eastAsiaTheme="minorEastAsia" w:hAnsiTheme="minorHAnsi" w:cstheme="minorHAnsi"/>
                <w:bCs/>
                <w:sz w:val="20"/>
                <w:szCs w:val="20"/>
              </w:rPr>
              <w:t>.</w:t>
            </w:r>
          </w:p>
        </w:tc>
        <w:tc>
          <w:tcPr>
            <w:tcW w:w="1436" w:type="dxa"/>
          </w:tcPr>
          <w:p w14:paraId="1A090612" w14:textId="77777777" w:rsidR="31BDC04C" w:rsidRPr="00DE692F" w:rsidRDefault="78958753" w:rsidP="78958753">
            <w:pPr>
              <w:jc w:val="center"/>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3</w:t>
            </w:r>
          </w:p>
        </w:tc>
      </w:tr>
      <w:tr w:rsidR="31BDC04C" w:rsidRPr="00DE692F" w14:paraId="0EB84C1A" w14:textId="77777777" w:rsidTr="0E949999">
        <w:trPr>
          <w:trHeight w:val="150"/>
        </w:trPr>
        <w:tc>
          <w:tcPr>
            <w:tcW w:w="8460" w:type="dxa"/>
          </w:tcPr>
          <w:p w14:paraId="23EC6F92" w14:textId="2324AD30" w:rsidR="31BDC04C" w:rsidRPr="00DE692F" w:rsidRDefault="78958753" w:rsidP="78958753">
            <w:pPr>
              <w:jc w:val="left"/>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Se espera exceder ampliamente la meta esperada en los plazos esperados o si ya fue alcanzada</w:t>
            </w:r>
            <w:r w:rsidR="00ED08A6" w:rsidRPr="00DE692F">
              <w:rPr>
                <w:rFonts w:asciiTheme="minorHAnsi" w:eastAsiaTheme="minorEastAsia" w:hAnsiTheme="minorHAnsi" w:cstheme="minorHAnsi"/>
                <w:bCs/>
                <w:sz w:val="20"/>
                <w:szCs w:val="20"/>
              </w:rPr>
              <w:t>.</w:t>
            </w:r>
          </w:p>
        </w:tc>
        <w:tc>
          <w:tcPr>
            <w:tcW w:w="1436" w:type="dxa"/>
          </w:tcPr>
          <w:p w14:paraId="2D2A52FF" w14:textId="77777777" w:rsidR="31BDC04C" w:rsidRPr="00DE692F" w:rsidRDefault="78958753" w:rsidP="78958753">
            <w:pPr>
              <w:jc w:val="center"/>
              <w:rPr>
                <w:rFonts w:asciiTheme="minorHAnsi" w:eastAsiaTheme="minorEastAsia" w:hAnsiTheme="minorHAnsi" w:cstheme="minorHAnsi"/>
                <w:bCs/>
                <w:sz w:val="20"/>
                <w:szCs w:val="20"/>
              </w:rPr>
            </w:pPr>
            <w:r w:rsidRPr="00DE692F">
              <w:rPr>
                <w:rFonts w:asciiTheme="minorHAnsi" w:eastAsiaTheme="minorEastAsia" w:hAnsiTheme="minorHAnsi" w:cstheme="minorHAnsi"/>
                <w:bCs/>
                <w:sz w:val="20"/>
                <w:szCs w:val="20"/>
              </w:rPr>
              <w:t>4</w:t>
            </w:r>
          </w:p>
        </w:tc>
      </w:tr>
    </w:tbl>
    <w:p w14:paraId="79E8B1A6" w14:textId="77777777" w:rsidR="005400B0" w:rsidRPr="00DE692F" w:rsidRDefault="005400B0" w:rsidP="007A7BF0">
      <w:pPr>
        <w:tabs>
          <w:tab w:val="left" w:pos="4680"/>
        </w:tabs>
        <w:rPr>
          <w:rFonts w:asciiTheme="minorHAnsi" w:eastAsia="Calibri" w:hAnsiTheme="minorHAnsi" w:cstheme="minorHAnsi"/>
          <w:b/>
          <w:bCs/>
          <w:sz w:val="20"/>
          <w:szCs w:val="20"/>
        </w:rPr>
        <w:sectPr w:rsidR="005400B0" w:rsidRPr="00DE692F" w:rsidSect="00DA7008">
          <w:pgSz w:w="16838" w:h="11906" w:orient="landscape" w:code="9"/>
          <w:pgMar w:top="1440" w:right="1080" w:bottom="1440" w:left="1080" w:header="720" w:footer="432" w:gutter="0"/>
          <w:cols w:space="708"/>
          <w:titlePg/>
          <w:docGrid w:linePitch="360"/>
        </w:sectPr>
      </w:pPr>
    </w:p>
    <w:p w14:paraId="6FBC2B58" w14:textId="7887EC99" w:rsidR="31BDC04C" w:rsidRPr="00DE692F" w:rsidRDefault="00B10E32" w:rsidP="00C2643E">
      <w:pPr>
        <w:pStyle w:val="Prrafodelista"/>
        <w:numPr>
          <w:ilvl w:val="0"/>
          <w:numId w:val="21"/>
        </w:numPr>
        <w:tabs>
          <w:tab w:val="left" w:pos="4680"/>
        </w:tabs>
        <w:rPr>
          <w:rFonts w:asciiTheme="minorHAnsi" w:hAnsiTheme="minorHAnsi" w:cstheme="minorHAnsi"/>
          <w:b/>
          <w:bCs/>
          <w:sz w:val="20"/>
          <w:szCs w:val="20"/>
        </w:rPr>
      </w:pPr>
      <w:r w:rsidRPr="00DE692F">
        <w:rPr>
          <w:rFonts w:asciiTheme="minorHAnsi" w:eastAsiaTheme="minorEastAsia" w:hAnsiTheme="minorHAnsi" w:cstheme="minorBidi"/>
          <w:b/>
          <w:bCs/>
          <w:sz w:val="20"/>
          <w:szCs w:val="20"/>
        </w:rPr>
        <w:lastRenderedPageBreak/>
        <w:t>P</w:t>
      </w:r>
      <w:r w:rsidR="00851AF1" w:rsidRPr="00DE692F">
        <w:rPr>
          <w:rFonts w:asciiTheme="minorHAnsi" w:eastAsiaTheme="minorEastAsia" w:hAnsiTheme="minorHAnsi" w:cstheme="minorBidi"/>
          <w:b/>
          <w:bCs/>
          <w:sz w:val="20"/>
          <w:szCs w:val="20"/>
        </w:rPr>
        <w:t>ROGRESO</w:t>
      </w:r>
      <w:r w:rsidR="31BDC04C" w:rsidRPr="00DE692F">
        <w:rPr>
          <w:rFonts w:asciiTheme="minorHAnsi" w:eastAsiaTheme="minorEastAsia" w:hAnsiTheme="minorHAnsi" w:cstheme="minorBidi"/>
          <w:b/>
          <w:bCs/>
          <w:sz w:val="20"/>
          <w:szCs w:val="20"/>
        </w:rPr>
        <w:t xml:space="preserve"> </w:t>
      </w:r>
      <w:r w:rsidRPr="00DE692F">
        <w:rPr>
          <w:rFonts w:asciiTheme="minorHAnsi" w:eastAsiaTheme="minorEastAsia" w:hAnsiTheme="minorHAnsi" w:cstheme="minorBidi"/>
          <w:b/>
          <w:bCs/>
          <w:sz w:val="20"/>
          <w:szCs w:val="20"/>
        </w:rPr>
        <w:t>DE</w:t>
      </w:r>
      <w:r w:rsidR="00A102DE" w:rsidRPr="00DE692F">
        <w:rPr>
          <w:rFonts w:asciiTheme="minorHAnsi" w:eastAsiaTheme="minorEastAsia" w:hAnsiTheme="minorHAnsi" w:cstheme="minorBidi"/>
          <w:b/>
          <w:bCs/>
          <w:sz w:val="20"/>
          <w:szCs w:val="20"/>
        </w:rPr>
        <w:t xml:space="preserve"> </w:t>
      </w:r>
      <w:r w:rsidR="007444F1" w:rsidRPr="00DE692F">
        <w:rPr>
          <w:rFonts w:asciiTheme="minorHAnsi" w:eastAsiaTheme="minorEastAsia" w:hAnsiTheme="minorHAnsi" w:cstheme="minorBidi"/>
          <w:b/>
          <w:bCs/>
          <w:sz w:val="20"/>
          <w:szCs w:val="20"/>
        </w:rPr>
        <w:t>PRODUCTOS</w:t>
      </w:r>
      <w:r w:rsidR="00857A94" w:rsidRPr="00DE692F">
        <w:rPr>
          <w:rFonts w:asciiTheme="minorHAnsi" w:eastAsiaTheme="minorEastAsia" w:hAnsiTheme="minorHAnsi" w:cstheme="minorBidi"/>
          <w:b/>
          <w:bCs/>
          <w:sz w:val="20"/>
          <w:szCs w:val="20"/>
        </w:rPr>
        <w:t xml:space="preserve"> Y ACTIVIDADES</w:t>
      </w:r>
      <w:r w:rsidR="31BDC04C" w:rsidRPr="00DE692F">
        <w:rPr>
          <w:rFonts w:asciiTheme="minorHAnsi" w:eastAsiaTheme="minorEastAsia" w:hAnsiTheme="minorHAnsi" w:cstheme="minorBidi"/>
          <w:b/>
          <w:bCs/>
          <w:sz w:val="20"/>
          <w:szCs w:val="20"/>
        </w:rPr>
        <w:t xml:space="preserve"> </w:t>
      </w:r>
      <w:r w:rsidR="00A102DE" w:rsidRPr="00DE692F">
        <w:rPr>
          <w:rFonts w:asciiTheme="minorHAnsi" w:eastAsiaTheme="minorEastAsia" w:hAnsiTheme="minorHAnsi" w:cstheme="minorBidi"/>
          <w:b/>
          <w:bCs/>
          <w:sz w:val="20"/>
          <w:szCs w:val="20"/>
        </w:rPr>
        <w:t xml:space="preserve">DEL PROYECTO </w:t>
      </w:r>
    </w:p>
    <w:p w14:paraId="7197C660" w14:textId="30FC9A48" w:rsidR="00027094" w:rsidRPr="00DE692F" w:rsidRDefault="00026692" w:rsidP="582CB6FB">
      <w:pPr>
        <w:tabs>
          <w:tab w:val="left" w:pos="4680"/>
        </w:tabs>
        <w:rPr>
          <w:rFonts w:asciiTheme="minorHAnsi" w:eastAsiaTheme="minorEastAsia" w:hAnsiTheme="minorHAnsi" w:cstheme="minorBidi"/>
          <w:sz w:val="20"/>
          <w:szCs w:val="20"/>
        </w:rPr>
      </w:pPr>
      <w:r w:rsidRPr="00DE692F">
        <w:rPr>
          <w:rFonts w:asciiTheme="minorHAnsi" w:eastAsiaTheme="minorEastAsia" w:hAnsiTheme="minorHAnsi" w:cstheme="minorBidi"/>
          <w:sz w:val="20"/>
          <w:szCs w:val="20"/>
        </w:rPr>
        <w:t xml:space="preserve">Completar </w:t>
      </w:r>
      <w:r w:rsidR="78958753" w:rsidRPr="00DE692F">
        <w:rPr>
          <w:rFonts w:asciiTheme="minorHAnsi" w:eastAsiaTheme="minorEastAsia" w:hAnsiTheme="minorHAnsi" w:cstheme="minorBidi"/>
          <w:sz w:val="20"/>
          <w:szCs w:val="20"/>
        </w:rPr>
        <w:t xml:space="preserve">el </w:t>
      </w:r>
      <w:r w:rsidR="00DC22A7" w:rsidRPr="00DE692F">
        <w:rPr>
          <w:rFonts w:asciiTheme="minorHAnsi" w:eastAsiaTheme="minorEastAsia" w:hAnsiTheme="minorHAnsi" w:cstheme="minorBidi"/>
          <w:sz w:val="20"/>
          <w:szCs w:val="20"/>
        </w:rPr>
        <w:t xml:space="preserve">siguiente cuadro con el </w:t>
      </w:r>
      <w:r w:rsidR="78958753" w:rsidRPr="00DE692F">
        <w:rPr>
          <w:rFonts w:asciiTheme="minorHAnsi" w:eastAsiaTheme="minorEastAsia" w:hAnsiTheme="minorHAnsi" w:cstheme="minorBidi"/>
          <w:sz w:val="20"/>
          <w:szCs w:val="20"/>
        </w:rPr>
        <w:t xml:space="preserve">grado de avance de </w:t>
      </w:r>
      <w:r w:rsidR="003478B8" w:rsidRPr="00DE692F">
        <w:rPr>
          <w:rFonts w:asciiTheme="minorHAnsi" w:eastAsiaTheme="minorEastAsia" w:hAnsiTheme="minorHAnsi" w:cstheme="minorBidi"/>
          <w:sz w:val="20"/>
          <w:szCs w:val="20"/>
        </w:rPr>
        <w:t xml:space="preserve">los productos y </w:t>
      </w:r>
      <w:r w:rsidR="78958753" w:rsidRPr="00DE692F">
        <w:rPr>
          <w:rFonts w:asciiTheme="minorHAnsi" w:eastAsiaTheme="minorEastAsia" w:hAnsiTheme="minorHAnsi" w:cstheme="minorBidi"/>
          <w:sz w:val="20"/>
          <w:szCs w:val="20"/>
        </w:rPr>
        <w:t xml:space="preserve">las actividades </w:t>
      </w:r>
      <w:r w:rsidR="00656707" w:rsidRPr="00DE692F">
        <w:rPr>
          <w:rFonts w:asciiTheme="minorHAnsi" w:eastAsiaTheme="minorEastAsia" w:hAnsiTheme="minorHAnsi" w:cstheme="minorBidi"/>
          <w:sz w:val="20"/>
          <w:szCs w:val="20"/>
        </w:rPr>
        <w:t xml:space="preserve">en </w:t>
      </w:r>
      <w:r w:rsidR="78958753" w:rsidRPr="00DE692F">
        <w:rPr>
          <w:rFonts w:asciiTheme="minorHAnsi" w:eastAsiaTheme="minorEastAsia" w:hAnsiTheme="minorHAnsi" w:cstheme="minorBidi"/>
          <w:sz w:val="20"/>
          <w:szCs w:val="20"/>
        </w:rPr>
        <w:t>el periodo de referencia del presente informe</w:t>
      </w:r>
      <w:r w:rsidR="496A30D2" w:rsidRPr="00DE692F">
        <w:rPr>
          <w:rFonts w:asciiTheme="minorHAnsi" w:eastAsiaTheme="minorEastAsia" w:hAnsiTheme="minorHAnsi" w:cstheme="minorBidi"/>
          <w:sz w:val="20"/>
          <w:szCs w:val="20"/>
        </w:rPr>
        <w:t>,</w:t>
      </w:r>
      <w:r w:rsidR="78958753" w:rsidRPr="00DE692F">
        <w:rPr>
          <w:rFonts w:asciiTheme="minorHAnsi" w:eastAsiaTheme="minorEastAsia" w:hAnsiTheme="minorHAnsi" w:cstheme="minorBidi"/>
          <w:sz w:val="20"/>
          <w:szCs w:val="20"/>
        </w:rPr>
        <w:t xml:space="preserve"> </w:t>
      </w:r>
      <w:r w:rsidR="004C1667" w:rsidRPr="00DE692F">
        <w:rPr>
          <w:rFonts w:asciiTheme="minorHAnsi" w:eastAsiaTheme="minorEastAsia" w:hAnsiTheme="minorHAnsi" w:cstheme="minorBidi"/>
          <w:sz w:val="20"/>
          <w:szCs w:val="20"/>
        </w:rPr>
        <w:t xml:space="preserve">con </w:t>
      </w:r>
      <w:r w:rsidR="78958753" w:rsidRPr="00DE692F">
        <w:rPr>
          <w:rFonts w:asciiTheme="minorHAnsi" w:eastAsiaTheme="minorEastAsia" w:hAnsiTheme="minorHAnsi" w:cstheme="minorBidi"/>
          <w:sz w:val="20"/>
          <w:szCs w:val="20"/>
        </w:rPr>
        <w:t xml:space="preserve">base </w:t>
      </w:r>
      <w:r w:rsidR="00053DE5" w:rsidRPr="00DE692F">
        <w:rPr>
          <w:rFonts w:asciiTheme="minorHAnsi" w:eastAsiaTheme="minorEastAsia" w:hAnsiTheme="minorHAnsi" w:cstheme="minorBidi"/>
          <w:sz w:val="20"/>
          <w:szCs w:val="20"/>
        </w:rPr>
        <w:t>en e</w:t>
      </w:r>
      <w:r w:rsidR="78958753" w:rsidRPr="00DE692F">
        <w:rPr>
          <w:rFonts w:asciiTheme="minorHAnsi" w:eastAsiaTheme="minorEastAsia" w:hAnsiTheme="minorHAnsi" w:cstheme="minorBidi"/>
          <w:sz w:val="20"/>
          <w:szCs w:val="20"/>
        </w:rPr>
        <w:t>l Plan de Trabajo Anual del proyecto</w:t>
      </w:r>
      <w:r w:rsidR="00264E81" w:rsidRPr="00DE692F">
        <w:rPr>
          <w:rFonts w:asciiTheme="minorHAnsi" w:eastAsiaTheme="minorEastAsia" w:hAnsiTheme="minorHAnsi" w:cstheme="minorBidi"/>
          <w:sz w:val="20"/>
          <w:szCs w:val="20"/>
        </w:rPr>
        <w:t>.</w:t>
      </w:r>
    </w:p>
    <w:tbl>
      <w:tblPr>
        <w:tblW w:w="1148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0"/>
        <w:gridCol w:w="860"/>
        <w:gridCol w:w="992"/>
        <w:gridCol w:w="851"/>
        <w:gridCol w:w="1021"/>
        <w:gridCol w:w="1147"/>
        <w:gridCol w:w="1234"/>
        <w:gridCol w:w="1275"/>
      </w:tblGrid>
      <w:tr w:rsidR="00C51239" w:rsidRPr="00DE692F" w14:paraId="59B4F5EA" w14:textId="6C00FADE" w:rsidTr="00951D5C">
        <w:trPr>
          <w:trHeight w:val="450"/>
        </w:trPr>
        <w:tc>
          <w:tcPr>
            <w:tcW w:w="11482" w:type="dxa"/>
            <w:gridSpan w:val="9"/>
            <w:tcBorders>
              <w:bottom w:val="single" w:sz="4" w:space="0" w:color="auto"/>
            </w:tcBorders>
            <w:shd w:val="clear" w:color="auto" w:fill="D0CECE" w:themeFill="background2" w:themeFillShade="E6"/>
            <w:vAlign w:val="center"/>
          </w:tcPr>
          <w:p w14:paraId="05983AF4" w14:textId="77777777" w:rsidR="006965E1" w:rsidRPr="00DE692F" w:rsidRDefault="006965E1" w:rsidP="006965E1">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1:  </w:t>
            </w:r>
            <w:r w:rsidRPr="00DE692F">
              <w:rPr>
                <w:rFonts w:asciiTheme="minorHAnsi" w:eastAsiaTheme="minorEastAsia" w:hAnsiTheme="minorHAnsi" w:cstheme="minorHAnsi"/>
                <w:sz w:val="16"/>
                <w:szCs w:val="16"/>
              </w:rPr>
              <w:t>Desarrollo de sistemas de gestión integrada del paisaje (GIP).</w:t>
            </w:r>
          </w:p>
          <w:p w14:paraId="7CA505C4" w14:textId="3C1A60AF" w:rsidR="00C51239" w:rsidRPr="00DE692F" w:rsidRDefault="006965E1" w:rsidP="006965E1">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1:  </w:t>
            </w:r>
            <w:r w:rsidRPr="00DE692F">
              <w:rPr>
                <w:rFonts w:asciiTheme="minorHAnsi" w:eastAsiaTheme="minorEastAsia" w:hAnsiTheme="minorHAnsi" w:cstheme="minorHAnsi"/>
                <w:sz w:val="16"/>
                <w:szCs w:val="16"/>
              </w:rPr>
              <w:t>Los servicios de ecosistemas sostenibles y una buena gestión del paisaje están respaldados por un sistema GIP</w:t>
            </w:r>
          </w:p>
        </w:tc>
      </w:tr>
      <w:tr w:rsidR="00031434" w:rsidRPr="00DE692F" w14:paraId="72FF8247" w14:textId="38703B62" w:rsidTr="00951D5C">
        <w:trPr>
          <w:trHeight w:val="1220"/>
        </w:trPr>
        <w:tc>
          <w:tcPr>
            <w:tcW w:w="1702" w:type="dxa"/>
            <w:tcBorders>
              <w:bottom w:val="single" w:sz="4" w:space="0" w:color="auto"/>
            </w:tcBorders>
            <w:shd w:val="clear" w:color="auto" w:fill="D0CECE" w:themeFill="background2" w:themeFillShade="E6"/>
            <w:vAlign w:val="center"/>
          </w:tcPr>
          <w:p w14:paraId="328CDB8F" w14:textId="5ECE4236" w:rsidR="00372934" w:rsidRPr="00DE692F" w:rsidRDefault="00372934" w:rsidP="002C16FB">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1.1</w:t>
            </w:r>
            <w:r w:rsidR="00CA287F" w:rsidRPr="00DE692F">
              <w:rPr>
                <w:rFonts w:asciiTheme="minorHAnsi" w:eastAsiaTheme="minorEastAsia" w:hAnsiTheme="minorHAnsi" w:cstheme="minorHAnsi"/>
                <w:b/>
                <w:bCs/>
                <w:sz w:val="16"/>
                <w:szCs w:val="16"/>
              </w:rPr>
              <w:t>.1</w:t>
            </w:r>
          </w:p>
        </w:tc>
        <w:tc>
          <w:tcPr>
            <w:tcW w:w="2400" w:type="dxa"/>
            <w:tcBorders>
              <w:bottom w:val="single" w:sz="4" w:space="0" w:color="auto"/>
            </w:tcBorders>
            <w:shd w:val="clear" w:color="auto" w:fill="D0CECE" w:themeFill="background2" w:themeFillShade="E6"/>
            <w:vAlign w:val="center"/>
          </w:tcPr>
          <w:p w14:paraId="60CFDBF5" w14:textId="77777777"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EB2C0D7" w14:textId="7ED36793" w:rsidR="00372934" w:rsidRPr="00DE692F" w:rsidRDefault="00CE23E1"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72934" w:rsidRPr="00DE692F">
              <w:rPr>
                <w:rFonts w:asciiTheme="minorHAnsi" w:eastAsiaTheme="minorEastAsia" w:hAnsiTheme="minorHAnsi" w:cstheme="minorHAnsi"/>
                <w:b/>
                <w:bCs/>
                <w:sz w:val="16"/>
                <w:szCs w:val="16"/>
              </w:rPr>
              <w:t xml:space="preserve"> de </w:t>
            </w:r>
            <w:r w:rsidR="001B4934" w:rsidRPr="00DE692F">
              <w:rPr>
                <w:rFonts w:asciiTheme="minorHAnsi" w:eastAsiaTheme="minorEastAsia" w:hAnsiTheme="minorHAnsi" w:cstheme="minorHAnsi"/>
                <w:b/>
                <w:bCs/>
                <w:sz w:val="16"/>
                <w:szCs w:val="16"/>
              </w:rPr>
              <w:t>b</w:t>
            </w:r>
            <w:r w:rsidR="00372934" w:rsidRPr="00DE692F">
              <w:rPr>
                <w:rFonts w:asciiTheme="minorHAnsi" w:eastAsiaTheme="minorEastAsia" w:hAnsiTheme="minorHAnsi" w:cstheme="minorHAnsi"/>
                <w:b/>
                <w:bCs/>
                <w:sz w:val="16"/>
                <w:szCs w:val="16"/>
              </w:rPr>
              <w:t>ase</w:t>
            </w:r>
          </w:p>
          <w:p w14:paraId="21362C22" w14:textId="5A276046" w:rsidR="00372934" w:rsidRPr="00DE692F" w:rsidRDefault="00372934" w:rsidP="00951D5C">
            <w:pPr>
              <w:tabs>
                <w:tab w:val="left" w:pos="4680"/>
              </w:tabs>
              <w:jc w:val="center"/>
              <w:rPr>
                <w:rFonts w:asciiTheme="minorHAnsi" w:eastAsiaTheme="minorEastAsia" w:hAnsiTheme="minorHAnsi" w:cstheme="minorHAnsi"/>
                <w:b/>
                <w:bCs/>
                <w:sz w:val="16"/>
                <w:szCs w:val="16"/>
              </w:rPr>
            </w:pPr>
          </w:p>
        </w:tc>
        <w:tc>
          <w:tcPr>
            <w:tcW w:w="992" w:type="dxa"/>
            <w:tcBorders>
              <w:bottom w:val="single" w:sz="4" w:space="0" w:color="auto"/>
            </w:tcBorders>
            <w:shd w:val="clear" w:color="auto" w:fill="D0CECE" w:themeFill="background2" w:themeFillShade="E6"/>
            <w:vAlign w:val="center"/>
          </w:tcPr>
          <w:p w14:paraId="3647DDEF" w14:textId="0BA17010"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7E19DB88" w14:textId="194F4E33" w:rsidR="00372934" w:rsidRPr="00DE692F" w:rsidRDefault="0004636B" w:rsidP="00951D5C">
            <w:pPr>
              <w:tabs>
                <w:tab w:val="left" w:pos="4680"/>
              </w:tabs>
              <w:jc w:val="center"/>
              <w:rPr>
                <w:rFonts w:asciiTheme="minorHAnsi" w:eastAsiaTheme="minorEastAsia" w:hAnsiTheme="minorHAnsi" w:cstheme="minorHAnsi"/>
                <w:b/>
                <w:bCs/>
                <w:sz w:val="16"/>
                <w:szCs w:val="16"/>
                <w:highlight w:val="yellow"/>
              </w:rPr>
            </w:pPr>
            <w:r w:rsidRPr="00DE692F">
              <w:rPr>
                <w:rFonts w:asciiTheme="minorHAnsi" w:eastAsiaTheme="minorEastAsia" w:hAnsiTheme="minorHAnsi" w:cstheme="minorHAnsi"/>
                <w:b/>
                <w:bCs/>
                <w:sz w:val="16"/>
                <w:szCs w:val="16"/>
              </w:rPr>
              <w:t>Anual 202</w:t>
            </w:r>
            <w:r w:rsidR="005D148B" w:rsidRPr="00DE692F">
              <w:rPr>
                <w:rFonts w:asciiTheme="minorHAnsi" w:eastAsiaTheme="minorEastAsia" w:hAnsiTheme="minorHAnsi" w:cstheme="minorHAnsi"/>
                <w:b/>
                <w:bCs/>
                <w:sz w:val="16"/>
                <w:szCs w:val="16"/>
              </w:rPr>
              <w:t>5</w:t>
            </w:r>
          </w:p>
        </w:tc>
        <w:tc>
          <w:tcPr>
            <w:tcW w:w="851" w:type="dxa"/>
            <w:tcBorders>
              <w:bottom w:val="single" w:sz="4" w:space="0" w:color="auto"/>
            </w:tcBorders>
            <w:shd w:val="clear" w:color="auto" w:fill="D0CECE" w:themeFill="background2" w:themeFillShade="E6"/>
            <w:vAlign w:val="center"/>
          </w:tcPr>
          <w:p w14:paraId="4107FC13" w14:textId="1277AEE8"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sz w:val="16"/>
                <w:szCs w:val="16"/>
              </w:rPr>
              <w:t xml:space="preserve">Avance </w:t>
            </w:r>
            <w:r w:rsidR="001B4934" w:rsidRPr="00DE692F">
              <w:rPr>
                <w:rFonts w:asciiTheme="minorHAnsi" w:eastAsiaTheme="minorEastAsia" w:hAnsiTheme="minorHAnsi" w:cstheme="minorHAnsi"/>
                <w:b/>
                <w:sz w:val="16"/>
                <w:szCs w:val="16"/>
              </w:rPr>
              <w:t>m</w:t>
            </w:r>
            <w:r w:rsidRPr="00DE692F">
              <w:rPr>
                <w:rFonts w:asciiTheme="minorHAnsi" w:eastAsiaTheme="minorEastAsia" w:hAnsiTheme="minorHAnsi" w:cstheme="minorHAnsi"/>
                <w:b/>
                <w:sz w:val="16"/>
                <w:szCs w:val="16"/>
              </w:rPr>
              <w:t xml:space="preserve">eta </w:t>
            </w:r>
            <w:r w:rsidR="001B4934" w:rsidRPr="00DE692F">
              <w:rPr>
                <w:rFonts w:asciiTheme="minorHAnsi" w:eastAsiaTheme="minorEastAsia" w:hAnsiTheme="minorHAnsi" w:cstheme="minorHAnsi"/>
                <w:b/>
                <w:sz w:val="16"/>
                <w:szCs w:val="16"/>
              </w:rPr>
              <w:t>a</w:t>
            </w:r>
            <w:r w:rsidRPr="00DE692F">
              <w:rPr>
                <w:rFonts w:asciiTheme="minorHAnsi" w:eastAsiaTheme="minorEastAsia" w:hAnsiTheme="minorHAnsi" w:cstheme="minorHAnsi"/>
                <w:b/>
                <w:sz w:val="16"/>
                <w:szCs w:val="16"/>
              </w:rPr>
              <w:t xml:space="preserve">nual </w:t>
            </w:r>
            <w:r w:rsidR="0040026F" w:rsidRPr="00DE692F">
              <w:rPr>
                <w:rFonts w:asciiTheme="minorHAnsi" w:eastAsiaTheme="minorEastAsia" w:hAnsiTheme="minorHAnsi" w:cstheme="minorHAnsi"/>
                <w:b/>
                <w:sz w:val="16"/>
                <w:szCs w:val="16"/>
              </w:rPr>
              <w:t>acumulado</w:t>
            </w:r>
          </w:p>
        </w:tc>
        <w:tc>
          <w:tcPr>
            <w:tcW w:w="1021" w:type="dxa"/>
            <w:tcBorders>
              <w:bottom w:val="single" w:sz="4" w:space="0" w:color="auto"/>
            </w:tcBorders>
            <w:shd w:val="clear" w:color="auto" w:fill="D0CECE" w:themeFill="background2" w:themeFillShade="E6"/>
            <w:vAlign w:val="center"/>
          </w:tcPr>
          <w:p w14:paraId="6A5E2E8E" w14:textId="4B54C551"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A2CECA1" w14:textId="055CD916" w:rsidR="00372934" w:rsidRPr="00DE692F" w:rsidRDefault="001B4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w:t>
            </w:r>
            <w:r w:rsidR="00372934" w:rsidRPr="00DE692F">
              <w:rPr>
                <w:rFonts w:asciiTheme="minorHAnsi" w:eastAsiaTheme="minorEastAsia" w:hAnsiTheme="minorHAnsi" w:cstheme="minorHAnsi"/>
                <w:b/>
                <w:bCs/>
                <w:sz w:val="16"/>
                <w:szCs w:val="16"/>
              </w:rPr>
              <w:t>inal</w:t>
            </w:r>
          </w:p>
          <w:p w14:paraId="687EBDAB" w14:textId="77777777"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613F3983" w14:textId="7B272B8E" w:rsidR="00372934" w:rsidRPr="00DE692F" w:rsidRDefault="00372934" w:rsidP="00951D5C">
            <w:pPr>
              <w:tabs>
                <w:tab w:val="left" w:pos="4680"/>
              </w:tabs>
              <w:jc w:val="center"/>
              <w:rPr>
                <w:rFonts w:asciiTheme="minorHAnsi" w:eastAsiaTheme="minorEastAsia" w:hAnsiTheme="minorHAnsi" w:cstheme="minorHAnsi"/>
                <w:b/>
                <w:sz w:val="16"/>
                <w:szCs w:val="16"/>
              </w:rPr>
            </w:pPr>
            <w:r w:rsidRPr="00DE692F">
              <w:rPr>
                <w:rFonts w:asciiTheme="minorHAnsi" w:eastAsiaTheme="minorEastAsia" w:hAnsiTheme="minorHAnsi" w:cstheme="minorHAnsi"/>
                <w:b/>
                <w:sz w:val="16"/>
                <w:szCs w:val="16"/>
              </w:rPr>
              <w:t xml:space="preserve">Avance </w:t>
            </w:r>
            <w:r w:rsidR="001B4934" w:rsidRPr="00DE692F">
              <w:rPr>
                <w:rFonts w:asciiTheme="minorHAnsi" w:eastAsiaTheme="minorEastAsia" w:hAnsiTheme="minorHAnsi" w:cstheme="minorHAnsi"/>
                <w:b/>
                <w:sz w:val="16"/>
                <w:szCs w:val="16"/>
              </w:rPr>
              <w:t>a</w:t>
            </w:r>
            <w:r w:rsidRPr="00DE692F">
              <w:rPr>
                <w:rFonts w:asciiTheme="minorHAnsi" w:eastAsiaTheme="minorEastAsia" w:hAnsiTheme="minorHAnsi" w:cstheme="minorHAnsi"/>
                <w:b/>
                <w:sz w:val="16"/>
                <w:szCs w:val="16"/>
              </w:rPr>
              <w:t>cumulado</w:t>
            </w:r>
          </w:p>
          <w:p w14:paraId="518E421C" w14:textId="147DAC7C" w:rsidR="00372934" w:rsidRPr="00DE692F" w:rsidRDefault="001B4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sz w:val="16"/>
                <w:szCs w:val="16"/>
              </w:rPr>
              <w:t>m</w:t>
            </w:r>
            <w:r w:rsidR="00372934" w:rsidRPr="00DE692F">
              <w:rPr>
                <w:rFonts w:asciiTheme="minorHAnsi" w:eastAsiaTheme="minorEastAsia" w:hAnsiTheme="minorHAnsi" w:cstheme="minorHAnsi"/>
                <w:b/>
                <w:sz w:val="16"/>
                <w:szCs w:val="16"/>
              </w:rPr>
              <w:t xml:space="preserve">eta </w:t>
            </w:r>
            <w:r w:rsidRPr="00DE692F">
              <w:rPr>
                <w:rFonts w:asciiTheme="minorHAnsi" w:eastAsiaTheme="minorEastAsia" w:hAnsiTheme="minorHAnsi" w:cstheme="minorHAnsi"/>
                <w:b/>
                <w:sz w:val="16"/>
                <w:szCs w:val="16"/>
              </w:rPr>
              <w:t>f</w:t>
            </w:r>
            <w:r w:rsidR="00372934" w:rsidRPr="00DE692F">
              <w:rPr>
                <w:rFonts w:asciiTheme="minorHAnsi" w:eastAsiaTheme="minorEastAsia" w:hAnsiTheme="minorHAnsi" w:cstheme="minorHAnsi"/>
                <w:b/>
                <w:sz w:val="16"/>
                <w:szCs w:val="16"/>
              </w:rPr>
              <w:t>inal (B)</w:t>
            </w:r>
          </w:p>
        </w:tc>
        <w:tc>
          <w:tcPr>
            <w:tcW w:w="1234" w:type="dxa"/>
            <w:tcBorders>
              <w:bottom w:val="single" w:sz="4" w:space="0" w:color="auto"/>
            </w:tcBorders>
            <w:shd w:val="clear" w:color="auto" w:fill="D0CECE" w:themeFill="background2" w:themeFillShade="E6"/>
            <w:vAlign w:val="center"/>
          </w:tcPr>
          <w:p w14:paraId="598B1F1C" w14:textId="0E22946A" w:rsidR="00372934" w:rsidRPr="00DE692F" w:rsidRDefault="46C7CCB7"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49356770" w14:textId="569BE0D3" w:rsidR="00372934" w:rsidRPr="00DE692F" w:rsidRDefault="00372934" w:rsidP="00951D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20CE0D9B" w14:textId="77777777" w:rsidR="00372934" w:rsidRPr="00DE692F" w:rsidRDefault="00372934" w:rsidP="00951D5C">
            <w:pPr>
              <w:tabs>
                <w:tab w:val="left" w:pos="4680"/>
              </w:tabs>
              <w:jc w:val="center"/>
              <w:rPr>
                <w:rFonts w:asciiTheme="minorHAnsi" w:eastAsiaTheme="minorEastAsia" w:hAnsiTheme="minorHAnsi" w:cstheme="minorHAnsi"/>
                <w:b/>
                <w:bCs/>
                <w:sz w:val="16"/>
                <w:szCs w:val="16"/>
                <w:highlight w:val="yellow"/>
              </w:rPr>
            </w:pPr>
          </w:p>
        </w:tc>
        <w:tc>
          <w:tcPr>
            <w:tcW w:w="1275" w:type="dxa"/>
            <w:tcBorders>
              <w:bottom w:val="single" w:sz="4" w:space="0" w:color="auto"/>
            </w:tcBorders>
            <w:shd w:val="clear" w:color="auto" w:fill="D0CECE" w:themeFill="background2" w:themeFillShade="E6"/>
            <w:vAlign w:val="center"/>
          </w:tcPr>
          <w:p w14:paraId="44A2EF86" w14:textId="273AE078" w:rsidR="00372934" w:rsidRPr="00DE692F" w:rsidRDefault="13298F11" w:rsidP="00951D5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r w:rsidR="00CB4FB5" w:rsidRPr="00DE692F">
              <w:rPr>
                <w:rStyle w:val="Refdenotaalpie"/>
                <w:rFonts w:asciiTheme="minorHAnsi" w:eastAsiaTheme="minorEastAsia" w:hAnsiTheme="minorHAnsi" w:cstheme="minorHAnsi"/>
                <w:b/>
                <w:bCs/>
                <w:sz w:val="16"/>
                <w:szCs w:val="16"/>
              </w:rPr>
              <w:footnoteReference w:id="11"/>
            </w:r>
            <w:r w:rsidR="00495A9D" w:rsidRPr="00DE692F">
              <w:rPr>
                <w:rFonts w:asciiTheme="minorHAnsi" w:eastAsiaTheme="minorEastAsia" w:hAnsiTheme="minorHAnsi" w:cstheme="minorHAnsi"/>
                <w:b/>
                <w:bCs/>
                <w:sz w:val="16"/>
                <w:szCs w:val="16"/>
              </w:rPr>
              <w:t xml:space="preserve"> (opcional)</w:t>
            </w:r>
          </w:p>
        </w:tc>
      </w:tr>
      <w:tr w:rsidR="00A84ACD" w:rsidRPr="00DE692F" w14:paraId="1153F186" w14:textId="081E15AF" w:rsidTr="00951D5C">
        <w:trPr>
          <w:trHeight w:val="688"/>
        </w:trPr>
        <w:tc>
          <w:tcPr>
            <w:tcW w:w="1702" w:type="dxa"/>
            <w:tcBorders>
              <w:bottom w:val="single" w:sz="4" w:space="0" w:color="auto"/>
            </w:tcBorders>
            <w:vAlign w:val="center"/>
          </w:tcPr>
          <w:p w14:paraId="4F35E1E4" w14:textId="7DDC21C4" w:rsidR="00A84ACD" w:rsidRPr="00DE692F" w:rsidRDefault="00A84ACD" w:rsidP="00A84ACD">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Planes de Desarrollo Territorial (PDT) incorporan la GIP y toman en cuenta los procesos de deforestación y pérdida de hábitat.  </w:t>
            </w:r>
          </w:p>
        </w:tc>
        <w:tc>
          <w:tcPr>
            <w:tcW w:w="2400" w:type="dxa"/>
            <w:tcBorders>
              <w:bottom w:val="single" w:sz="4" w:space="0" w:color="auto"/>
            </w:tcBorders>
            <w:vAlign w:val="center"/>
          </w:tcPr>
          <w:p w14:paraId="4E967F46" w14:textId="141DD930" w:rsidR="00A84ACD" w:rsidRPr="00DE692F" w:rsidRDefault="003E271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tcBorders>
              <w:bottom w:val="single" w:sz="4" w:space="0" w:color="auto"/>
            </w:tcBorders>
            <w:vAlign w:val="center"/>
          </w:tcPr>
          <w:p w14:paraId="7E9D7E03" w14:textId="22C8B7D3"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tcBorders>
              <w:bottom w:val="single" w:sz="4" w:space="0" w:color="auto"/>
            </w:tcBorders>
            <w:vAlign w:val="center"/>
          </w:tcPr>
          <w:p w14:paraId="7AF83445" w14:textId="16047CEC"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tcBorders>
              <w:bottom w:val="single" w:sz="4" w:space="0" w:color="auto"/>
            </w:tcBorders>
            <w:vAlign w:val="center"/>
          </w:tcPr>
          <w:p w14:paraId="1EFA2C96" w14:textId="3C4D64D7"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tcBorders>
              <w:bottom w:val="single" w:sz="4" w:space="0" w:color="auto"/>
            </w:tcBorders>
            <w:vAlign w:val="center"/>
          </w:tcPr>
          <w:p w14:paraId="7E8D3128" w14:textId="20DD7812" w:rsidR="00A84ACD" w:rsidRPr="00DE692F" w:rsidRDefault="003E271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tcBorders>
              <w:bottom w:val="single" w:sz="4" w:space="0" w:color="auto"/>
            </w:tcBorders>
            <w:vAlign w:val="center"/>
          </w:tcPr>
          <w:p w14:paraId="09A3D45B" w14:textId="5EEEE4A7"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tcBorders>
              <w:bottom w:val="single" w:sz="4" w:space="0" w:color="auto"/>
            </w:tcBorders>
            <w:vAlign w:val="center"/>
          </w:tcPr>
          <w:p w14:paraId="180A213C" w14:textId="666FAB8C" w:rsidR="00A84ACD" w:rsidRPr="00DE692F" w:rsidRDefault="003E271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EN PROCESO</w:t>
            </w:r>
          </w:p>
        </w:tc>
        <w:tc>
          <w:tcPr>
            <w:tcW w:w="1275" w:type="dxa"/>
            <w:tcBorders>
              <w:bottom w:val="single" w:sz="4" w:space="0" w:color="auto"/>
            </w:tcBorders>
            <w:vAlign w:val="center"/>
          </w:tcPr>
          <w:p w14:paraId="05327D0C" w14:textId="5DD48430" w:rsidR="00A84ACD" w:rsidRPr="00DE692F" w:rsidRDefault="00311AF1"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3%</w:t>
            </w:r>
            <w:r w:rsidRPr="00DE692F">
              <w:rPr>
                <w:rStyle w:val="Refdenotaalpie"/>
                <w:rFonts w:eastAsiaTheme="minorEastAsia" w:cstheme="minorHAnsi"/>
                <w:szCs w:val="16"/>
              </w:rPr>
              <w:footnoteReference w:id="12"/>
            </w:r>
            <w:r w:rsidRPr="00DE692F">
              <w:rPr>
                <w:rFonts w:asciiTheme="minorHAnsi" w:eastAsiaTheme="minorEastAsia" w:hAnsiTheme="minorHAnsi" w:cstheme="minorHAnsi"/>
                <w:sz w:val="16"/>
                <w:szCs w:val="16"/>
              </w:rPr>
              <w:t>%</w:t>
            </w:r>
          </w:p>
        </w:tc>
      </w:tr>
      <w:tr w:rsidR="00C51239" w:rsidRPr="00DE692F" w14:paraId="06C2A028" w14:textId="33300BFA" w:rsidTr="00951D5C">
        <w:trPr>
          <w:trHeight w:val="275"/>
        </w:trPr>
        <w:tc>
          <w:tcPr>
            <w:tcW w:w="11482" w:type="dxa"/>
            <w:gridSpan w:val="9"/>
            <w:tcBorders>
              <w:bottom w:val="single" w:sz="4" w:space="0" w:color="auto"/>
            </w:tcBorders>
            <w:shd w:val="clear" w:color="auto" w:fill="D0CECE" w:themeFill="background2" w:themeFillShade="E6"/>
            <w:vAlign w:val="center"/>
          </w:tcPr>
          <w:p w14:paraId="5548494A" w14:textId="344EDF59" w:rsidR="00C51239" w:rsidRPr="00DE692F" w:rsidRDefault="00C51239" w:rsidP="00C51239">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Actividades </w:t>
            </w:r>
          </w:p>
        </w:tc>
      </w:tr>
      <w:tr w:rsidR="00C51239" w:rsidRPr="00DE692F" w14:paraId="11FD3832" w14:textId="7AC730AA" w:rsidTr="00951D5C">
        <w:trPr>
          <w:trHeight w:val="238"/>
        </w:trPr>
        <w:tc>
          <w:tcPr>
            <w:tcW w:w="1702" w:type="dxa"/>
            <w:tcBorders>
              <w:bottom w:val="single" w:sz="4" w:space="0" w:color="auto"/>
            </w:tcBorders>
            <w:vAlign w:val="center"/>
          </w:tcPr>
          <w:p w14:paraId="7AEF812F" w14:textId="2A5DF7E4" w:rsidR="00C51239" w:rsidRPr="00DE692F" w:rsidRDefault="00C51239" w:rsidP="002C16FB">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Actividad </w:t>
            </w:r>
            <w:r w:rsidR="0061210F" w:rsidRPr="00DE692F">
              <w:rPr>
                <w:rFonts w:asciiTheme="minorHAnsi" w:eastAsiaTheme="minorEastAsia" w:hAnsiTheme="minorHAnsi" w:cstheme="minorHAnsi"/>
                <w:b/>
                <w:bCs/>
                <w:sz w:val="16"/>
                <w:szCs w:val="16"/>
              </w:rPr>
              <w:t>1.1.1</w:t>
            </w:r>
            <w:r w:rsidRPr="00DE692F">
              <w:rPr>
                <w:rFonts w:asciiTheme="minorHAnsi" w:eastAsiaTheme="minorEastAsia" w:hAnsiTheme="minorHAnsi" w:cstheme="minorHAnsi"/>
                <w:b/>
                <w:bCs/>
                <w:sz w:val="16"/>
                <w:szCs w:val="16"/>
              </w:rPr>
              <w:t>.1</w:t>
            </w:r>
          </w:p>
        </w:tc>
        <w:tc>
          <w:tcPr>
            <w:tcW w:w="9780" w:type="dxa"/>
            <w:gridSpan w:val="8"/>
            <w:tcBorders>
              <w:bottom w:val="single" w:sz="4" w:space="0" w:color="auto"/>
            </w:tcBorders>
            <w:vAlign w:val="center"/>
          </w:tcPr>
          <w:p w14:paraId="46A2D44E" w14:textId="7AB0889C" w:rsidR="00C51239" w:rsidRPr="00DE692F" w:rsidRDefault="004C105C" w:rsidP="00951D5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Identificar, priorizar y evaluar </w:t>
            </w:r>
            <w:r w:rsidR="00E20648">
              <w:rPr>
                <w:rFonts w:asciiTheme="minorHAnsi" w:eastAsiaTheme="minorEastAsia" w:hAnsiTheme="minorHAnsi" w:cstheme="minorHAnsi"/>
                <w:sz w:val="16"/>
                <w:szCs w:val="16"/>
              </w:rPr>
              <w:t xml:space="preserve">los PDT </w:t>
            </w:r>
            <w:r w:rsidRPr="00DE692F">
              <w:rPr>
                <w:rFonts w:asciiTheme="minorHAnsi" w:eastAsiaTheme="minorEastAsia" w:hAnsiTheme="minorHAnsi" w:cstheme="minorHAnsi"/>
                <w:sz w:val="16"/>
                <w:szCs w:val="16"/>
              </w:rPr>
              <w:t>provinciales de San Martin y Loreto a los que el proyecto brindará soporte teniendo en cuenta los impulsores de deforestación y pérdida de hábitat.</w:t>
            </w:r>
          </w:p>
        </w:tc>
      </w:tr>
      <w:tr w:rsidR="00C51239" w:rsidRPr="00DE692F" w14:paraId="70AFEB3D" w14:textId="7F4C46BC" w:rsidTr="00951D5C">
        <w:trPr>
          <w:trHeight w:val="213"/>
        </w:trPr>
        <w:tc>
          <w:tcPr>
            <w:tcW w:w="1702" w:type="dxa"/>
            <w:tcBorders>
              <w:bottom w:val="single" w:sz="4" w:space="0" w:color="auto"/>
            </w:tcBorders>
            <w:vAlign w:val="center"/>
          </w:tcPr>
          <w:p w14:paraId="25E7A710" w14:textId="30699904" w:rsidR="00C51239" w:rsidRPr="00DE692F" w:rsidRDefault="00C51239" w:rsidP="002C16FB">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Actividad </w:t>
            </w:r>
            <w:r w:rsidR="0061210F" w:rsidRPr="00DE692F">
              <w:rPr>
                <w:rFonts w:asciiTheme="minorHAnsi" w:eastAsiaTheme="minorEastAsia" w:hAnsiTheme="minorHAnsi" w:cstheme="minorHAnsi"/>
                <w:b/>
                <w:bCs/>
                <w:sz w:val="16"/>
                <w:szCs w:val="16"/>
              </w:rPr>
              <w:t>1.1.1</w:t>
            </w:r>
            <w:r w:rsidRPr="00DE692F">
              <w:rPr>
                <w:rFonts w:asciiTheme="minorHAnsi" w:eastAsiaTheme="minorEastAsia" w:hAnsiTheme="minorHAnsi" w:cstheme="minorHAnsi"/>
                <w:b/>
                <w:bCs/>
                <w:sz w:val="16"/>
                <w:szCs w:val="16"/>
              </w:rPr>
              <w:t>.2</w:t>
            </w:r>
          </w:p>
        </w:tc>
        <w:tc>
          <w:tcPr>
            <w:tcW w:w="9780" w:type="dxa"/>
            <w:gridSpan w:val="8"/>
            <w:tcBorders>
              <w:bottom w:val="single" w:sz="4" w:space="0" w:color="auto"/>
            </w:tcBorders>
            <w:vAlign w:val="center"/>
          </w:tcPr>
          <w:p w14:paraId="2C42891E" w14:textId="5D79B733" w:rsidR="00C51239" w:rsidRPr="00DE692F" w:rsidRDefault="004C105C" w:rsidP="00951D5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Fortalecer las capacidades (conceptos y herramientas) en sistemas GIP de los funcionarios y a los actores clave vinculados a los procesos de elaboración o actualización de PDT, incluyendo en el diseño de las capacitaciones el enfoque de género e interculturalidad.</w:t>
            </w:r>
          </w:p>
        </w:tc>
      </w:tr>
      <w:tr w:rsidR="004C105C" w:rsidRPr="00DE692F" w14:paraId="0E329620" w14:textId="77777777" w:rsidTr="00951D5C">
        <w:trPr>
          <w:trHeight w:val="213"/>
        </w:trPr>
        <w:tc>
          <w:tcPr>
            <w:tcW w:w="1702" w:type="dxa"/>
            <w:tcBorders>
              <w:bottom w:val="single" w:sz="4" w:space="0" w:color="auto"/>
            </w:tcBorders>
            <w:vAlign w:val="center"/>
          </w:tcPr>
          <w:p w14:paraId="157A3A3C" w14:textId="12089918" w:rsidR="004C105C" w:rsidRPr="00DE692F" w:rsidRDefault="004C105C" w:rsidP="004C105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1.1.1.3</w:t>
            </w:r>
          </w:p>
        </w:tc>
        <w:tc>
          <w:tcPr>
            <w:tcW w:w="9780" w:type="dxa"/>
            <w:gridSpan w:val="8"/>
            <w:tcBorders>
              <w:bottom w:val="single" w:sz="4" w:space="0" w:color="auto"/>
            </w:tcBorders>
            <w:vAlign w:val="center"/>
          </w:tcPr>
          <w:p w14:paraId="0D18DF13" w14:textId="6EE5D760" w:rsidR="004C105C" w:rsidRPr="00DE692F" w:rsidRDefault="004C105C" w:rsidP="004C105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Soporte en el proceso de elaboración de PRDC y PLDCs de la región Amazonas para incluir GIP teniendo en cuenta los impulsores de deforestación y pérdida de hábitat.</w:t>
            </w:r>
          </w:p>
        </w:tc>
      </w:tr>
      <w:tr w:rsidR="004C105C" w:rsidRPr="00DE692F" w14:paraId="67F3D6C2" w14:textId="04CBFAF4" w:rsidTr="00951D5C">
        <w:trPr>
          <w:trHeight w:val="332"/>
        </w:trPr>
        <w:tc>
          <w:tcPr>
            <w:tcW w:w="1702" w:type="dxa"/>
            <w:tcBorders>
              <w:bottom w:val="single" w:sz="4" w:space="0" w:color="auto"/>
            </w:tcBorders>
            <w:vAlign w:val="center"/>
          </w:tcPr>
          <w:p w14:paraId="21DCEBB1" w14:textId="60DB3C50" w:rsidR="004C105C" w:rsidRPr="00DE692F" w:rsidRDefault="004C105C" w:rsidP="004C105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1.1.1.4</w:t>
            </w:r>
          </w:p>
        </w:tc>
        <w:tc>
          <w:tcPr>
            <w:tcW w:w="9780" w:type="dxa"/>
            <w:gridSpan w:val="8"/>
            <w:tcBorders>
              <w:bottom w:val="single" w:sz="4" w:space="0" w:color="auto"/>
            </w:tcBorders>
            <w:vAlign w:val="center"/>
          </w:tcPr>
          <w:p w14:paraId="206713CC" w14:textId="261EA48E" w:rsidR="004C105C" w:rsidRPr="00DE692F" w:rsidRDefault="004C105C" w:rsidP="004C105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Soporte en el proceso de elaboración de PLDCs de la región Cajamarca para incluir GIP teniendo en cuenta los impulsores de deforestación y pérdida de hábitat.</w:t>
            </w:r>
          </w:p>
        </w:tc>
      </w:tr>
      <w:tr w:rsidR="00311AF1" w:rsidRPr="00DE692F" w14:paraId="785F297B" w14:textId="3DF463E7" w:rsidTr="00951D5C">
        <w:trPr>
          <w:trHeight w:val="1100"/>
        </w:trPr>
        <w:tc>
          <w:tcPr>
            <w:tcW w:w="4962" w:type="dxa"/>
            <w:gridSpan w:val="3"/>
            <w:tcBorders>
              <w:bottom w:val="single" w:sz="4" w:space="0" w:color="auto"/>
            </w:tcBorders>
            <w:vAlign w:val="center"/>
          </w:tcPr>
          <w:p w14:paraId="353D0E3B" w14:textId="5F5F2519" w:rsidR="003E271F" w:rsidRDefault="00311AF1" w:rsidP="00311AF1">
            <w:pPr>
              <w:tabs>
                <w:tab w:val="left" w:pos="4680"/>
              </w:tabs>
              <w:rPr>
                <w:rFonts w:asciiTheme="minorHAnsi" w:hAnsiTheme="minorHAnsi" w:cstheme="minorHAnsi"/>
                <w:sz w:val="16"/>
                <w:szCs w:val="16"/>
              </w:rPr>
            </w:pPr>
            <w:r w:rsidRPr="00DE692F">
              <w:rPr>
                <w:rFonts w:asciiTheme="minorHAnsi" w:hAnsiTheme="minorHAnsi" w:cstheme="minorHAnsi"/>
                <w:sz w:val="16"/>
                <w:szCs w:val="16"/>
              </w:rPr>
              <w:t>Se cuenta con el compromiso de los actores locales para la formulación de 03 PDLC Provincias y 02 PDLC distritales. Departamento de Amazonas: Provincia de Rodríguez de Mendoza y Provincia de Bongará y Departamento de Cajamarca: Provincia de San Ignacio y sus Distrito</w:t>
            </w:r>
            <w:r w:rsidR="005D6904">
              <w:rPr>
                <w:rFonts w:asciiTheme="minorHAnsi" w:hAnsiTheme="minorHAnsi" w:cstheme="minorHAnsi"/>
                <w:sz w:val="16"/>
                <w:szCs w:val="16"/>
              </w:rPr>
              <w:t>s</w:t>
            </w:r>
            <w:r w:rsidRPr="00DE692F">
              <w:rPr>
                <w:rFonts w:asciiTheme="minorHAnsi" w:hAnsiTheme="minorHAnsi" w:cstheme="minorHAnsi"/>
                <w:sz w:val="16"/>
                <w:szCs w:val="16"/>
              </w:rPr>
              <w:t xml:space="preserve"> de Tabaconas y de La Coipa</w:t>
            </w:r>
            <w:r w:rsidR="003E271F">
              <w:rPr>
                <w:rFonts w:asciiTheme="minorHAnsi" w:hAnsiTheme="minorHAnsi" w:cstheme="minorHAnsi"/>
                <w:sz w:val="16"/>
                <w:szCs w:val="16"/>
              </w:rPr>
              <w:t xml:space="preserve">. </w:t>
            </w:r>
          </w:p>
          <w:p w14:paraId="7C69E0E8" w14:textId="7A145CCA" w:rsidR="00311AF1" w:rsidRPr="00DE692F" w:rsidRDefault="003E271F" w:rsidP="00311AF1">
            <w:pPr>
              <w:tabs>
                <w:tab w:val="left" w:pos="4680"/>
              </w:tabs>
              <w:rPr>
                <w:rFonts w:asciiTheme="minorHAnsi" w:hAnsiTheme="minorHAnsi" w:cstheme="minorHAnsi"/>
                <w:sz w:val="16"/>
                <w:szCs w:val="16"/>
              </w:rPr>
            </w:pPr>
            <w:r>
              <w:rPr>
                <w:rFonts w:asciiTheme="minorHAnsi" w:hAnsiTheme="minorHAnsi" w:cstheme="minorHAnsi"/>
                <w:sz w:val="16"/>
                <w:szCs w:val="16"/>
              </w:rPr>
              <w:t>En las provincias de Rodríguez de Mendoza, San Ignacio y Bongará</w:t>
            </w:r>
            <w:r w:rsidR="00311AF1" w:rsidRPr="00DE692F">
              <w:rPr>
                <w:rFonts w:asciiTheme="minorHAnsi" w:hAnsiTheme="minorHAnsi" w:cstheme="minorHAnsi"/>
                <w:sz w:val="16"/>
                <w:szCs w:val="16"/>
              </w:rPr>
              <w:t>, se realiz</w:t>
            </w:r>
            <w:r>
              <w:rPr>
                <w:rFonts w:asciiTheme="minorHAnsi" w:hAnsiTheme="minorHAnsi" w:cstheme="minorHAnsi"/>
                <w:sz w:val="16"/>
                <w:szCs w:val="16"/>
              </w:rPr>
              <w:t>aron</w:t>
            </w:r>
            <w:r w:rsidR="00311AF1" w:rsidRPr="00DE692F">
              <w:rPr>
                <w:rFonts w:asciiTheme="minorHAnsi" w:hAnsiTheme="minorHAnsi" w:cstheme="minorHAnsi"/>
                <w:sz w:val="16"/>
                <w:szCs w:val="16"/>
              </w:rPr>
              <w:t xml:space="preserve"> talleres preparatorios con participación activa del CEPLAN.</w:t>
            </w:r>
          </w:p>
          <w:p w14:paraId="04E615E0" w14:textId="65B64161" w:rsidR="00311AF1" w:rsidRPr="00DE692F" w:rsidRDefault="005D6904" w:rsidP="00311AF1">
            <w:pPr>
              <w:tabs>
                <w:tab w:val="left" w:pos="4680"/>
              </w:tabs>
              <w:rPr>
                <w:rFonts w:asciiTheme="minorHAnsi" w:hAnsiTheme="minorHAnsi" w:cstheme="minorHAnsi"/>
                <w:sz w:val="16"/>
                <w:szCs w:val="16"/>
              </w:rPr>
            </w:pPr>
            <w:r>
              <w:rPr>
                <w:rFonts w:asciiTheme="minorHAnsi" w:hAnsiTheme="minorHAnsi" w:cstheme="minorHAnsi"/>
                <w:sz w:val="16"/>
                <w:szCs w:val="16"/>
              </w:rPr>
              <w:t>Además, s</w:t>
            </w:r>
            <w:r w:rsidR="00311AF1" w:rsidRPr="00DE692F">
              <w:rPr>
                <w:rFonts w:asciiTheme="minorHAnsi" w:hAnsiTheme="minorHAnsi" w:cstheme="minorHAnsi"/>
                <w:sz w:val="16"/>
                <w:szCs w:val="16"/>
              </w:rPr>
              <w:t xml:space="preserve">e desarrolló el marco conceptual de la Gestión Integrada del Paisaje y bajo </w:t>
            </w:r>
            <w:r w:rsidR="00C20C9F">
              <w:rPr>
                <w:rFonts w:asciiTheme="minorHAnsi" w:hAnsiTheme="minorHAnsi" w:cstheme="minorHAnsi"/>
                <w:sz w:val="16"/>
                <w:szCs w:val="16"/>
              </w:rPr>
              <w:t xml:space="preserve">estos </w:t>
            </w:r>
            <w:r w:rsidR="00311AF1" w:rsidRPr="00DE692F">
              <w:rPr>
                <w:rFonts w:asciiTheme="minorHAnsi" w:hAnsiTheme="minorHAnsi" w:cstheme="minorHAnsi"/>
                <w:sz w:val="16"/>
                <w:szCs w:val="16"/>
              </w:rPr>
              <w:t xml:space="preserve">criterios GIP se identificó 06 unidades de paisaje como marco para la estrategia de intervención del proyecto.  Se realizó la inducción sobre GIP a 40 funcionarios de SERFOR, OSINFOR, GOLOS, </w:t>
            </w:r>
            <w:r w:rsidR="00311AF1" w:rsidRPr="00DE692F">
              <w:rPr>
                <w:rFonts w:asciiTheme="minorHAnsi" w:hAnsiTheme="minorHAnsi" w:cstheme="minorHAnsi"/>
                <w:sz w:val="16"/>
                <w:szCs w:val="16"/>
              </w:rPr>
              <w:lastRenderedPageBreak/>
              <w:t>MINAM, autoridades del territorio en talleres vinculados a la planificación territorial y del uso del suelo.</w:t>
            </w:r>
          </w:p>
          <w:p w14:paraId="09E1F3F1" w14:textId="77777777" w:rsidR="00311AF1" w:rsidRPr="00DE692F" w:rsidRDefault="00311AF1" w:rsidP="00311AF1">
            <w:pPr>
              <w:tabs>
                <w:tab w:val="left" w:pos="4680"/>
              </w:tabs>
              <w:rPr>
                <w:rFonts w:asciiTheme="minorHAnsi" w:hAnsiTheme="minorHAnsi" w:cstheme="minorHAnsi"/>
                <w:sz w:val="16"/>
                <w:szCs w:val="16"/>
              </w:rPr>
            </w:pPr>
          </w:p>
          <w:p w14:paraId="4361781F" w14:textId="7B3EF8D8" w:rsidR="00311AF1" w:rsidRPr="00DE692F" w:rsidRDefault="00311AF1" w:rsidP="00311AF1">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1A3FBA7C" w14:textId="2106B28A" w:rsidR="00311AF1" w:rsidRPr="00DE692F"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 xml:space="preserve">Se ha iniciado los procesos de formulación de los planes territoriales </w:t>
            </w:r>
            <w:r w:rsidR="00BE237F" w:rsidRPr="00DE692F">
              <w:rPr>
                <w:rFonts w:asciiTheme="minorHAnsi" w:eastAsiaTheme="minorEastAsia" w:hAnsiTheme="minorHAnsi" w:cstheme="minorHAnsi"/>
                <w:sz w:val="16"/>
                <w:szCs w:val="16"/>
              </w:rPr>
              <w:t>bajo</w:t>
            </w:r>
            <w:r w:rsidRPr="00DE692F">
              <w:rPr>
                <w:rFonts w:asciiTheme="minorHAnsi" w:eastAsiaTheme="minorEastAsia" w:hAnsiTheme="minorHAnsi" w:cstheme="minorHAnsi"/>
                <w:sz w:val="16"/>
                <w:szCs w:val="16"/>
              </w:rPr>
              <w:t xml:space="preserve"> la conducción de las autoridades locales y el acompañamiento del CEPLAN, por lo que se tiene acuerdos con las Provincias de San Ignacio, Rodríguez de Mendoza y Bongará para la formulación de sus PDLC, considerando </w:t>
            </w:r>
            <w:r w:rsidR="00BE237F" w:rsidRPr="00DE692F">
              <w:rPr>
                <w:rFonts w:asciiTheme="minorHAnsi" w:eastAsiaTheme="minorEastAsia" w:hAnsiTheme="minorHAnsi" w:cstheme="minorHAnsi"/>
                <w:sz w:val="16"/>
                <w:szCs w:val="16"/>
              </w:rPr>
              <w:t xml:space="preserve">según cuadro en pie de página </w:t>
            </w:r>
            <w:r w:rsidRPr="00DE692F">
              <w:rPr>
                <w:rFonts w:asciiTheme="minorHAnsi" w:eastAsiaTheme="minorEastAsia" w:hAnsiTheme="minorHAnsi" w:cstheme="minorHAnsi"/>
                <w:sz w:val="16"/>
                <w:szCs w:val="16"/>
              </w:rPr>
              <w:t xml:space="preserve">que </w:t>
            </w:r>
            <w:r w:rsidR="00BE237F" w:rsidRPr="00DE692F">
              <w:rPr>
                <w:rFonts w:asciiTheme="minorHAnsi" w:eastAsiaTheme="minorEastAsia" w:hAnsiTheme="minorHAnsi" w:cstheme="minorHAnsi"/>
                <w:sz w:val="16"/>
                <w:szCs w:val="16"/>
              </w:rPr>
              <w:t>se ha identificado una etapa correspondiente</w:t>
            </w:r>
            <w:r w:rsidRPr="00DE692F">
              <w:rPr>
                <w:rFonts w:asciiTheme="minorHAnsi" w:eastAsiaTheme="minorEastAsia" w:hAnsiTheme="minorHAnsi" w:cstheme="minorHAnsi"/>
                <w:sz w:val="16"/>
                <w:szCs w:val="16"/>
              </w:rPr>
              <w:t xml:space="preserve"> al acuerdo </w:t>
            </w:r>
            <w:r w:rsidR="00BE237F" w:rsidRPr="00DE692F">
              <w:rPr>
                <w:rFonts w:asciiTheme="minorHAnsi" w:eastAsiaTheme="minorEastAsia" w:hAnsiTheme="minorHAnsi" w:cstheme="minorHAnsi"/>
                <w:sz w:val="16"/>
                <w:szCs w:val="16"/>
              </w:rPr>
              <w:t>para la formulación del PDLC equivalente al</w:t>
            </w:r>
            <w:r w:rsidRPr="00DE692F">
              <w:rPr>
                <w:rFonts w:asciiTheme="minorHAnsi" w:eastAsiaTheme="minorEastAsia" w:hAnsiTheme="minorHAnsi" w:cstheme="minorHAnsi"/>
                <w:sz w:val="16"/>
                <w:szCs w:val="16"/>
              </w:rPr>
              <w:t xml:space="preserve"> 10% se tiene </w:t>
            </w:r>
            <w:r w:rsidR="00BE237F" w:rsidRPr="00DE692F">
              <w:rPr>
                <w:rFonts w:asciiTheme="minorHAnsi" w:eastAsiaTheme="minorEastAsia" w:hAnsiTheme="minorHAnsi" w:cstheme="minorHAnsi"/>
                <w:sz w:val="16"/>
                <w:szCs w:val="16"/>
              </w:rPr>
              <w:t>un avance</w:t>
            </w:r>
            <w:r w:rsidRPr="00DE692F">
              <w:rPr>
                <w:rFonts w:asciiTheme="minorHAnsi" w:eastAsiaTheme="minorEastAsia" w:hAnsiTheme="minorHAnsi" w:cstheme="minorHAnsi"/>
                <w:sz w:val="16"/>
                <w:szCs w:val="16"/>
              </w:rPr>
              <w:t xml:space="preserve"> del 3% en relación a la meta total. En este sentido, los procesos de formulación de PDLC en los Departamentos de Amazonas y Cajamarca, se encuentran en la etapa de compromisos con los actores locales e iniciando la etapa preparatoria de acuerdo con la metodología establecida por el CEPLAN. </w:t>
            </w:r>
          </w:p>
          <w:p w14:paraId="0B616626" w14:textId="329875AE" w:rsidR="00C02DB0"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La brecha encontrada en el territorio en relación </w:t>
            </w:r>
            <w:r w:rsidR="00C02DB0">
              <w:rPr>
                <w:rFonts w:asciiTheme="minorHAnsi" w:eastAsiaTheme="minorEastAsia" w:hAnsiTheme="minorHAnsi" w:cstheme="minorHAnsi"/>
                <w:sz w:val="16"/>
                <w:szCs w:val="16"/>
              </w:rPr>
              <w:t>a la existencia de</w:t>
            </w:r>
            <w:r w:rsidRPr="00DE692F">
              <w:rPr>
                <w:rFonts w:asciiTheme="minorHAnsi" w:eastAsiaTheme="minorEastAsia" w:hAnsiTheme="minorHAnsi" w:cstheme="minorHAnsi"/>
                <w:sz w:val="16"/>
                <w:szCs w:val="16"/>
              </w:rPr>
              <w:t xml:space="preserve"> PDLC ha sido de 100% en la Provincia de San Ignacio y sus distritos y de 95 % en la Provincia de Rodríguez de Mendoza y sus distritos</w:t>
            </w:r>
            <w:r w:rsidR="00C02DB0">
              <w:rPr>
                <w:rFonts w:asciiTheme="minorHAnsi" w:eastAsiaTheme="minorEastAsia" w:hAnsiTheme="minorHAnsi" w:cstheme="minorHAnsi"/>
                <w:sz w:val="16"/>
                <w:szCs w:val="16"/>
              </w:rPr>
              <w:t>, ya que</w:t>
            </w:r>
            <w:r w:rsidRPr="00DE692F">
              <w:rPr>
                <w:rFonts w:asciiTheme="minorHAnsi" w:eastAsiaTheme="minorEastAsia" w:hAnsiTheme="minorHAnsi" w:cstheme="minorHAnsi"/>
                <w:sz w:val="16"/>
                <w:szCs w:val="16"/>
              </w:rPr>
              <w:t xml:space="preserve"> solo un distrito cuenta con PDLC recientemente aprobado. En los diagnósticos realizados para brindar asistencia técnica para la formulación de los PDLC , PEI y POI en ambas </w:t>
            </w:r>
            <w:r w:rsidRPr="00DE692F">
              <w:rPr>
                <w:rFonts w:asciiTheme="minorHAnsi" w:eastAsiaTheme="minorEastAsia" w:hAnsiTheme="minorHAnsi" w:cstheme="minorHAnsi"/>
                <w:sz w:val="16"/>
                <w:szCs w:val="16"/>
              </w:rPr>
              <w:lastRenderedPageBreak/>
              <w:t xml:space="preserve">provincias y sus distritos se ha realizado un diagnóstico exploratorio en base a criterios como coordinación y capacidad de liderazgo, planificación y gestión territorial, gestión financiera y administrativa, tecnología e innovación y rendición de cuentas desde donde se puede concluir que hay una débil capacidad de los GOLOS que se acentúa en los distritos, salvo algunas excepciones. </w:t>
            </w:r>
          </w:p>
          <w:p w14:paraId="278EFA3D" w14:textId="1DE75EB1" w:rsidR="00311AF1" w:rsidRPr="00DE692F"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Esta realidad, representa un gran reto al momento de bri</w:t>
            </w:r>
            <w:r w:rsidR="00C02DB0">
              <w:rPr>
                <w:rFonts w:asciiTheme="minorHAnsi" w:eastAsiaTheme="minorEastAsia" w:hAnsiTheme="minorHAnsi" w:cstheme="minorHAnsi"/>
                <w:sz w:val="16"/>
                <w:szCs w:val="16"/>
              </w:rPr>
              <w:t>n</w:t>
            </w:r>
            <w:r w:rsidRPr="00DE692F">
              <w:rPr>
                <w:rFonts w:asciiTheme="minorHAnsi" w:eastAsiaTheme="minorEastAsia" w:hAnsiTheme="minorHAnsi" w:cstheme="minorHAnsi"/>
                <w:sz w:val="16"/>
                <w:szCs w:val="16"/>
              </w:rPr>
              <w:t xml:space="preserve">dar el soporte técnico y financiero para la formulación de sus herramientas que incorporan la GIP, se ve traducida en reducido personal en las áreas de planeamiento y oficinas técnicas, falta de capacidades técnicas y para liderar procesos en el territorio, falta de voluntad política por cambio de gobierno (elecciones), falta de información e insumos que nutran la toma de decisiones actores. Por otro lado, al ser jurisdicciones alejadas encontramos accesibilidad limitada y en algunos casos presencia de actividades ilegales. </w:t>
            </w:r>
          </w:p>
          <w:p w14:paraId="63A95AC0" w14:textId="6F228910" w:rsidR="00311AF1" w:rsidRPr="00DE692F" w:rsidRDefault="00B86743" w:rsidP="00311AF1">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Esta información servirá para construir una estrategia de </w:t>
            </w:r>
            <w:r w:rsidR="00C23963">
              <w:rPr>
                <w:rFonts w:asciiTheme="minorHAnsi" w:eastAsiaTheme="minorEastAsia" w:hAnsiTheme="minorHAnsi" w:cstheme="minorHAnsi"/>
                <w:sz w:val="16"/>
                <w:szCs w:val="16"/>
              </w:rPr>
              <w:t>elaboración de los instrumentos con enfoque GIP que se ajuste a las necesidades de cada gobierno local.</w:t>
            </w:r>
          </w:p>
        </w:tc>
      </w:tr>
      <w:tr w:rsidR="004C105C" w:rsidRPr="00DE692F" w14:paraId="702BC2DC" w14:textId="18524F67" w:rsidTr="00951D5C">
        <w:trPr>
          <w:trHeight w:val="1190"/>
        </w:trPr>
        <w:tc>
          <w:tcPr>
            <w:tcW w:w="1702" w:type="dxa"/>
            <w:tcBorders>
              <w:bottom w:val="single" w:sz="4" w:space="0" w:color="auto"/>
            </w:tcBorders>
            <w:shd w:val="clear" w:color="auto" w:fill="D0CECE" w:themeFill="background2" w:themeFillShade="E6"/>
            <w:vAlign w:val="center"/>
          </w:tcPr>
          <w:p w14:paraId="14E5C39E" w14:textId="1C67CBE4" w:rsidR="004C105C" w:rsidRPr="00DE692F" w:rsidRDefault="004C105C" w:rsidP="004C105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1.1.2</w:t>
            </w:r>
          </w:p>
        </w:tc>
        <w:tc>
          <w:tcPr>
            <w:tcW w:w="2400" w:type="dxa"/>
            <w:tcBorders>
              <w:bottom w:val="single" w:sz="4" w:space="0" w:color="auto"/>
            </w:tcBorders>
            <w:shd w:val="clear" w:color="auto" w:fill="D0CECE" w:themeFill="background2" w:themeFillShade="E6"/>
            <w:vAlign w:val="center"/>
          </w:tcPr>
          <w:p w14:paraId="4D8E3B18"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647DF87C" w14:textId="292DDEA6" w:rsidR="004C105C" w:rsidRPr="00DE692F" w:rsidRDefault="00CE23E1"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4C105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4FB2950C" w14:textId="3D485F4D"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110CCBB3"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32EF3971" w14:textId="5A66AD68"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1E7B6C5C" w14:textId="1C7CD38F"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7FF8C3C2"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057AEE7A"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581B81AE" w14:textId="5EBE168E"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324AD55E"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BE832DD" w14:textId="7BCCCC78"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15F43F93"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5637A479" w14:textId="77777777" w:rsidR="004C105C" w:rsidRPr="00DE692F" w:rsidRDefault="004C105C" w:rsidP="004C105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28BCE94D" w14:textId="01CC031E" w:rsidR="004C105C" w:rsidRPr="00DE692F" w:rsidRDefault="004C105C" w:rsidP="004C105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11AF1" w:rsidRPr="00DE692F" w14:paraId="1C934F50" w14:textId="06EC7598" w:rsidTr="00951D5C">
        <w:trPr>
          <w:trHeight w:val="688"/>
        </w:trPr>
        <w:tc>
          <w:tcPr>
            <w:tcW w:w="1702" w:type="dxa"/>
            <w:vAlign w:val="center"/>
          </w:tcPr>
          <w:p w14:paraId="59DF5A12" w14:textId="7D51926C" w:rsidR="00311AF1" w:rsidRPr="00DE692F" w:rsidRDefault="00311AF1" w:rsidP="00311AF1">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Planes de Vida de los Pueblos Indígenas (PVPI) desarrollados e implementados para fortalecer la gobernanza y promover la producción sostenible y la GIP</w:t>
            </w:r>
          </w:p>
        </w:tc>
        <w:tc>
          <w:tcPr>
            <w:tcW w:w="2400" w:type="dxa"/>
            <w:vAlign w:val="center"/>
          </w:tcPr>
          <w:p w14:paraId="5D21C0D6" w14:textId="619B5BDD" w:rsidR="00311AF1" w:rsidRPr="00DE692F" w:rsidRDefault="003E271F" w:rsidP="00311AF1">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72EFB8EA" w14:textId="4284DAEE" w:rsidR="00311AF1" w:rsidRPr="00DE692F" w:rsidRDefault="00311AF1"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7195EDC7" w14:textId="22ABAF81" w:rsidR="00311AF1" w:rsidRPr="00DE692F" w:rsidRDefault="00311AF1"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1FCFE667" w14:textId="41C0E0B5" w:rsidR="00311AF1" w:rsidRPr="00DE692F" w:rsidRDefault="00311AF1"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05C6C1AE" w14:textId="7495D4FE" w:rsidR="00311AF1" w:rsidRPr="00DE692F" w:rsidRDefault="003E271F" w:rsidP="00311AF1">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3500F5E5" w14:textId="7BC8FF9F" w:rsidR="00311AF1" w:rsidRPr="00DE692F" w:rsidRDefault="00311AF1"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12E1D57D" w14:textId="43CCC0ED" w:rsidR="00311AF1" w:rsidRPr="00DE692F" w:rsidRDefault="00311AF1"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EN PROCESO</w:t>
            </w:r>
          </w:p>
        </w:tc>
        <w:tc>
          <w:tcPr>
            <w:tcW w:w="1275" w:type="dxa"/>
            <w:vAlign w:val="center"/>
          </w:tcPr>
          <w:p w14:paraId="3867F63A" w14:textId="043069F1" w:rsidR="00311AF1" w:rsidRPr="00DE692F" w:rsidRDefault="00655F6A" w:rsidP="00311AF1">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4.5</w:t>
            </w:r>
            <w:r w:rsidR="00311AF1" w:rsidRPr="00DE692F">
              <w:rPr>
                <w:rFonts w:asciiTheme="minorHAnsi" w:eastAsiaTheme="minorEastAsia" w:hAnsiTheme="minorHAnsi" w:cstheme="minorHAnsi"/>
                <w:sz w:val="16"/>
                <w:szCs w:val="16"/>
              </w:rPr>
              <w:t>%</w:t>
            </w:r>
            <w:r w:rsidR="003D0356" w:rsidRPr="00DE692F">
              <w:rPr>
                <w:rStyle w:val="Refdenotaalpie"/>
                <w:rFonts w:eastAsiaTheme="minorEastAsia" w:cstheme="minorHAnsi"/>
                <w:b/>
                <w:bCs/>
                <w:szCs w:val="16"/>
              </w:rPr>
              <w:footnoteReference w:id="13"/>
            </w:r>
          </w:p>
        </w:tc>
      </w:tr>
      <w:tr w:rsidR="004C105C" w:rsidRPr="00DE692F" w14:paraId="1454D1A0" w14:textId="07CB5747" w:rsidTr="00951D5C">
        <w:trPr>
          <w:trHeight w:val="176"/>
        </w:trPr>
        <w:tc>
          <w:tcPr>
            <w:tcW w:w="11482" w:type="dxa"/>
            <w:gridSpan w:val="9"/>
            <w:shd w:val="clear" w:color="auto" w:fill="D0CECE" w:themeFill="background2" w:themeFillShade="E6"/>
            <w:vAlign w:val="center"/>
          </w:tcPr>
          <w:p w14:paraId="1EDFFF15" w14:textId="07B5F44C" w:rsidR="004C105C" w:rsidRPr="00DE692F" w:rsidRDefault="004C105C" w:rsidP="004C105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4C105C" w:rsidRPr="00DE692F" w14:paraId="23748E47" w14:textId="04AB71A0" w:rsidTr="00951D5C">
        <w:trPr>
          <w:trHeight w:val="294"/>
        </w:trPr>
        <w:tc>
          <w:tcPr>
            <w:tcW w:w="1702" w:type="dxa"/>
            <w:vAlign w:val="center"/>
          </w:tcPr>
          <w:p w14:paraId="78D1DACE" w14:textId="6D19FF5C" w:rsidR="004C105C" w:rsidRPr="00DE692F" w:rsidRDefault="004C105C" w:rsidP="004C105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1.1.2.1</w:t>
            </w:r>
          </w:p>
        </w:tc>
        <w:tc>
          <w:tcPr>
            <w:tcW w:w="9780" w:type="dxa"/>
            <w:gridSpan w:val="8"/>
            <w:vAlign w:val="center"/>
          </w:tcPr>
          <w:p w14:paraId="4032B821" w14:textId="6E464FA4" w:rsidR="004C105C" w:rsidRPr="00DE692F" w:rsidRDefault="00D634ED" w:rsidP="004C105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Evaluación de impactos ambientales, sociales y económicos a nivel de paisaje del ámbito de intervención (SESA, EISA, PGAS, MGAS, etc.)</w:t>
            </w:r>
          </w:p>
        </w:tc>
      </w:tr>
      <w:tr w:rsidR="00D634ED" w:rsidRPr="00DE692F" w14:paraId="2BE3152A" w14:textId="77777777" w:rsidTr="00951D5C">
        <w:trPr>
          <w:trHeight w:val="294"/>
        </w:trPr>
        <w:tc>
          <w:tcPr>
            <w:tcW w:w="1702" w:type="dxa"/>
            <w:vAlign w:val="center"/>
          </w:tcPr>
          <w:p w14:paraId="5269DE51" w14:textId="54EDE7B4"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1.1.2.2</w:t>
            </w:r>
          </w:p>
        </w:tc>
        <w:tc>
          <w:tcPr>
            <w:tcW w:w="9780" w:type="dxa"/>
            <w:gridSpan w:val="8"/>
            <w:vAlign w:val="center"/>
          </w:tcPr>
          <w:p w14:paraId="4282B83F" w14:textId="0C5B9326" w:rsidR="00D634ED" w:rsidRPr="00DE692F" w:rsidRDefault="00F41C1B"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Fortalecimiento de capacidades de las Organizaciones </w:t>
            </w:r>
            <w:r w:rsidR="003E271F" w:rsidRPr="00DE692F">
              <w:rPr>
                <w:rFonts w:asciiTheme="minorHAnsi" w:eastAsiaTheme="minorEastAsia" w:hAnsiTheme="minorHAnsi" w:cstheme="minorHAnsi"/>
                <w:sz w:val="16"/>
                <w:szCs w:val="16"/>
              </w:rPr>
              <w:t>Indígenas</w:t>
            </w:r>
            <w:r w:rsidRPr="00DE692F">
              <w:rPr>
                <w:rFonts w:asciiTheme="minorHAnsi" w:eastAsiaTheme="minorEastAsia" w:hAnsiTheme="minorHAnsi" w:cstheme="minorHAnsi"/>
                <w:sz w:val="16"/>
                <w:szCs w:val="16"/>
              </w:rPr>
              <w:t xml:space="preserve"> orientadas a elaboración en implementación de sus PVPI</w:t>
            </w:r>
          </w:p>
        </w:tc>
      </w:tr>
      <w:tr w:rsidR="00D634ED" w:rsidRPr="00DE692F" w14:paraId="2F45EE9F" w14:textId="510AD9EA" w:rsidTr="00951D5C">
        <w:trPr>
          <w:trHeight w:val="256"/>
        </w:trPr>
        <w:tc>
          <w:tcPr>
            <w:tcW w:w="1702" w:type="dxa"/>
            <w:vAlign w:val="center"/>
          </w:tcPr>
          <w:p w14:paraId="0A0680A3" w14:textId="528D1E2A"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1.1.2.3</w:t>
            </w:r>
          </w:p>
        </w:tc>
        <w:tc>
          <w:tcPr>
            <w:tcW w:w="9780" w:type="dxa"/>
            <w:gridSpan w:val="8"/>
            <w:vAlign w:val="center"/>
          </w:tcPr>
          <w:p w14:paraId="2856D940" w14:textId="27432290" w:rsidR="00D634ED" w:rsidRPr="00DE692F" w:rsidRDefault="00F41C1B"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Firma de acuerdos con las Organizaciones </w:t>
            </w:r>
            <w:r w:rsidR="003E271F" w:rsidRPr="00DE692F">
              <w:rPr>
                <w:rFonts w:asciiTheme="minorHAnsi" w:eastAsiaTheme="minorEastAsia" w:hAnsiTheme="minorHAnsi" w:cstheme="minorHAnsi"/>
                <w:sz w:val="16"/>
                <w:szCs w:val="16"/>
              </w:rPr>
              <w:t>Indígenas</w:t>
            </w:r>
            <w:r w:rsidRPr="00DE692F">
              <w:rPr>
                <w:rFonts w:asciiTheme="minorHAnsi" w:eastAsiaTheme="minorEastAsia" w:hAnsiTheme="minorHAnsi" w:cstheme="minorHAnsi"/>
                <w:sz w:val="16"/>
                <w:szCs w:val="16"/>
              </w:rPr>
              <w:t xml:space="preserve"> -OOII Identificadas en los paisajes priorizados para implementar el Proyecto</w:t>
            </w:r>
          </w:p>
        </w:tc>
      </w:tr>
      <w:tr w:rsidR="00D634ED" w:rsidRPr="00DE692F" w14:paraId="21060E68" w14:textId="0FA9B794" w:rsidTr="00951D5C">
        <w:trPr>
          <w:trHeight w:val="232"/>
        </w:trPr>
        <w:tc>
          <w:tcPr>
            <w:tcW w:w="1702" w:type="dxa"/>
            <w:vAlign w:val="center"/>
          </w:tcPr>
          <w:p w14:paraId="1C9FCEF3" w14:textId="1E6749D1"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1.1.2.4</w:t>
            </w:r>
          </w:p>
        </w:tc>
        <w:tc>
          <w:tcPr>
            <w:tcW w:w="9780" w:type="dxa"/>
            <w:gridSpan w:val="8"/>
            <w:vAlign w:val="center"/>
          </w:tcPr>
          <w:p w14:paraId="7CF47005" w14:textId="471F5D5B" w:rsidR="00D634ED" w:rsidRPr="00DE692F" w:rsidRDefault="00F41C1B"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PVPI en la región de Amazonas</w:t>
            </w:r>
          </w:p>
        </w:tc>
      </w:tr>
      <w:tr w:rsidR="00311AF1" w:rsidRPr="00DE692F" w14:paraId="30ADE8AE" w14:textId="04D5EE16" w:rsidTr="00951D5C">
        <w:trPr>
          <w:trHeight w:val="688"/>
        </w:trPr>
        <w:tc>
          <w:tcPr>
            <w:tcW w:w="4962" w:type="dxa"/>
            <w:gridSpan w:val="3"/>
            <w:tcBorders>
              <w:bottom w:val="single" w:sz="4" w:space="0" w:color="auto"/>
            </w:tcBorders>
            <w:vAlign w:val="center"/>
          </w:tcPr>
          <w:p w14:paraId="7E4B03D4" w14:textId="6F4134AC" w:rsidR="00311AF1" w:rsidRPr="00DE692F" w:rsidRDefault="00311AF1" w:rsidP="00311AF1">
            <w:pPr>
              <w:tabs>
                <w:tab w:val="left" w:pos="4680"/>
              </w:tabs>
              <w:rPr>
                <w:rFonts w:asciiTheme="minorHAnsi" w:hAnsiTheme="minorHAnsi" w:cstheme="minorHAnsi"/>
                <w:sz w:val="16"/>
                <w:szCs w:val="16"/>
              </w:rPr>
            </w:pPr>
            <w:r w:rsidRPr="00DE692F">
              <w:rPr>
                <w:rFonts w:asciiTheme="minorHAnsi" w:hAnsiTheme="minorHAnsi" w:cstheme="minorHAnsi"/>
                <w:sz w:val="16"/>
                <w:szCs w:val="16"/>
              </w:rPr>
              <w:t>Se lograron actas de acuerdo para la implementación de Acuerdos de Subvención de Bajo Valor (LVG)  con 02 organizaciones indígenas: ECA Chayunain (paisaje Colán Utcubamba Chiriaco, en la Provincia de Imaza – Amazonas) y ORDEPIAA (paisaje Cordilleras Bajo Huallaga en la Provincia de Alto Amazonas-Loreto)</w:t>
            </w:r>
            <w:r w:rsidR="00FC0AE1">
              <w:rPr>
                <w:rFonts w:asciiTheme="minorHAnsi" w:hAnsiTheme="minorHAnsi" w:cstheme="minorHAnsi"/>
                <w:sz w:val="16"/>
                <w:szCs w:val="16"/>
              </w:rPr>
              <w:t xml:space="preserve"> para la elaboración de los PVPI</w:t>
            </w:r>
            <w:r w:rsidRPr="00DE692F">
              <w:rPr>
                <w:rFonts w:asciiTheme="minorHAnsi" w:hAnsiTheme="minorHAnsi" w:cstheme="minorHAnsi"/>
                <w:sz w:val="16"/>
                <w:szCs w:val="16"/>
              </w:rPr>
              <w:t xml:space="preserve">. El proyecto facilitó que 09 comunidades nativas firmaran compromisos con sus organizaciones indígenas para la elaboración e implementación de los planes de vida. Se fortaleció capacidades de 16 lideres indígenas en </w:t>
            </w:r>
            <w:r w:rsidRPr="00DE692F">
              <w:rPr>
                <w:rFonts w:asciiTheme="minorHAnsi" w:hAnsiTheme="minorHAnsi" w:cstheme="minorHAnsi"/>
                <w:sz w:val="16"/>
                <w:szCs w:val="16"/>
              </w:rPr>
              <w:lastRenderedPageBreak/>
              <w:t xml:space="preserve">talleres de inducción sobre la incorporación de GIP en planes de vida y gobernanza. Continuando con el trabajo para la elaboración e implementación de planes de vida, se han sostenido acuerdos previos con las organizaciones indígenas de CORPI SL y CODEPISAM. </w:t>
            </w:r>
          </w:p>
          <w:p w14:paraId="1EDEE80F" w14:textId="77777777" w:rsidR="00311AF1" w:rsidRPr="00DE692F" w:rsidRDefault="00311AF1" w:rsidP="00311AF1">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Asimismo, a fin de brindar condiciones de gobernanza para la implementación de planes de vida se ha constituido el Grupo de trabajo de pueblos indígenas que representa a las organizaciones indígenas en el ámbito del proyecto, con el objetivo de contar con un espacio de participación efectiva de las organizaciones indígenas lo que permitirá informar las actividades procesos, oportunidades donde sus intereses y visiones son tomados en cuenta, reconociendo su rol protagónico en la conservación de los bosque y el desarrollo de cadena de valor sostenibles.   </w:t>
            </w:r>
          </w:p>
          <w:p w14:paraId="157C0C3C" w14:textId="77777777" w:rsidR="001B3CCC" w:rsidRDefault="00311AF1" w:rsidP="001B3CCC">
            <w:pPr>
              <w:tabs>
                <w:tab w:val="left" w:pos="4680"/>
              </w:tabs>
              <w:rPr>
                <w:rFonts w:asciiTheme="minorHAnsi" w:hAnsiTheme="minorHAnsi" w:cstheme="minorHAnsi"/>
                <w:sz w:val="16"/>
                <w:szCs w:val="16"/>
              </w:rPr>
            </w:pPr>
            <w:r w:rsidRPr="00DE692F">
              <w:rPr>
                <w:rFonts w:asciiTheme="minorHAnsi" w:hAnsiTheme="minorHAnsi" w:cstheme="minorHAnsi"/>
                <w:sz w:val="16"/>
                <w:szCs w:val="16"/>
              </w:rPr>
              <w:t>Con relación a los estudios indicados en el marco de</w:t>
            </w:r>
            <w:r w:rsidR="003D6F66">
              <w:rPr>
                <w:rFonts w:asciiTheme="minorHAnsi" w:hAnsiTheme="minorHAnsi" w:cstheme="minorHAnsi"/>
                <w:sz w:val="16"/>
                <w:szCs w:val="16"/>
              </w:rPr>
              <w:t xml:space="preserve"> las</w:t>
            </w:r>
            <w:r w:rsidRPr="00DE692F">
              <w:rPr>
                <w:rFonts w:asciiTheme="minorHAnsi" w:hAnsiTheme="minorHAnsi" w:cstheme="minorHAnsi"/>
                <w:sz w:val="16"/>
                <w:szCs w:val="16"/>
              </w:rPr>
              <w:t xml:space="preserve"> salvaguardas sociales y ambientales, se han desarrollado los TdR para el estudio de trabajo infantil, que ha recibido aporte del Comité Directivo Nacional para la Prevención y Erradicación del Trabajo Infantil, espacio de dialogo multisectorial liderado por el Ministerio de Trabajo (CPETI).</w:t>
            </w:r>
            <w:r w:rsidR="00E342AF">
              <w:rPr>
                <w:rFonts w:asciiTheme="minorHAnsi" w:hAnsiTheme="minorHAnsi" w:cstheme="minorHAnsi"/>
                <w:sz w:val="16"/>
                <w:szCs w:val="16"/>
              </w:rPr>
              <w:t xml:space="preserve"> </w:t>
            </w:r>
          </w:p>
          <w:p w14:paraId="2E258BCD" w14:textId="609D930A" w:rsidR="001B3CCC" w:rsidRDefault="00E342AF" w:rsidP="001B3CCC">
            <w:pPr>
              <w:tabs>
                <w:tab w:val="left" w:pos="4680"/>
              </w:tabs>
              <w:rPr>
                <w:rFonts w:asciiTheme="minorHAnsi" w:hAnsiTheme="minorHAnsi" w:cstheme="minorHAnsi"/>
                <w:sz w:val="16"/>
                <w:szCs w:val="16"/>
              </w:rPr>
            </w:pPr>
            <w:r w:rsidRPr="001B3CCC">
              <w:rPr>
                <w:rFonts w:asciiTheme="minorHAnsi" w:hAnsiTheme="minorHAnsi" w:cstheme="minorHAnsi"/>
                <w:sz w:val="16"/>
                <w:szCs w:val="16"/>
              </w:rPr>
              <w:t xml:space="preserve">Del mismo modo, se </w:t>
            </w:r>
            <w:r w:rsidR="001B3CCC">
              <w:rPr>
                <w:rFonts w:asciiTheme="minorHAnsi" w:hAnsiTheme="minorHAnsi" w:cstheme="minorHAnsi"/>
                <w:sz w:val="16"/>
                <w:szCs w:val="16"/>
              </w:rPr>
              <w:t>realizó</w:t>
            </w:r>
            <w:r w:rsidRPr="001B3CCC">
              <w:rPr>
                <w:rFonts w:asciiTheme="minorHAnsi" w:hAnsiTheme="minorHAnsi" w:cstheme="minorHAnsi"/>
                <w:sz w:val="16"/>
                <w:szCs w:val="16"/>
              </w:rPr>
              <w:t xml:space="preserve"> una inducción </w:t>
            </w:r>
            <w:r w:rsidR="005164A9" w:rsidRPr="001B3CCC">
              <w:rPr>
                <w:rFonts w:asciiTheme="minorHAnsi" w:hAnsiTheme="minorHAnsi" w:cstheme="minorHAnsi"/>
                <w:sz w:val="16"/>
                <w:szCs w:val="16"/>
              </w:rPr>
              <w:t xml:space="preserve">sobre el riesgo de trabajo infantil a cargo de un experto de </w:t>
            </w:r>
            <w:r w:rsidR="00CE23E1">
              <w:rPr>
                <w:rFonts w:asciiTheme="minorHAnsi" w:hAnsiTheme="minorHAnsi" w:cstheme="minorHAnsi"/>
                <w:sz w:val="16"/>
                <w:szCs w:val="16"/>
              </w:rPr>
              <w:t>R</w:t>
            </w:r>
            <w:r w:rsidR="005164A9" w:rsidRPr="001B3CCC">
              <w:rPr>
                <w:rFonts w:asciiTheme="minorHAnsi" w:hAnsiTheme="minorHAnsi" w:cstheme="minorHAnsi"/>
                <w:sz w:val="16"/>
                <w:szCs w:val="16"/>
              </w:rPr>
              <w:t xml:space="preserve">ainforest Alliance, </w:t>
            </w:r>
            <w:r w:rsidRPr="001B3CCC">
              <w:rPr>
                <w:rFonts w:asciiTheme="minorHAnsi" w:hAnsiTheme="minorHAnsi" w:cstheme="minorHAnsi"/>
                <w:sz w:val="16"/>
                <w:szCs w:val="16"/>
              </w:rPr>
              <w:t>al equipo del proyecto</w:t>
            </w:r>
            <w:r w:rsidR="001B3CCC">
              <w:rPr>
                <w:rFonts w:asciiTheme="minorHAnsi" w:hAnsiTheme="minorHAnsi" w:cstheme="minorHAnsi"/>
                <w:sz w:val="16"/>
                <w:szCs w:val="16"/>
              </w:rPr>
              <w:t xml:space="preserve">. </w:t>
            </w:r>
          </w:p>
          <w:p w14:paraId="69C9599E" w14:textId="39E5561E" w:rsidR="001B3CCC" w:rsidRPr="00DE692F" w:rsidRDefault="001B3CCC" w:rsidP="001B3CCC">
            <w:pPr>
              <w:tabs>
                <w:tab w:val="left" w:pos="4680"/>
              </w:tabs>
              <w:rPr>
                <w:rFonts w:asciiTheme="minorHAnsi" w:hAnsiTheme="minorHAnsi" w:cstheme="minorHAnsi"/>
                <w:sz w:val="16"/>
                <w:szCs w:val="16"/>
              </w:rPr>
            </w:pPr>
            <w:r>
              <w:rPr>
                <w:rFonts w:asciiTheme="minorHAnsi" w:hAnsiTheme="minorHAnsi" w:cstheme="minorHAnsi"/>
                <w:sz w:val="16"/>
                <w:szCs w:val="16"/>
              </w:rPr>
              <w:t xml:space="preserve">Y en </w:t>
            </w:r>
            <w:r w:rsidRPr="001B3CCC">
              <w:rPr>
                <w:rFonts w:asciiTheme="minorHAnsi" w:hAnsiTheme="minorHAnsi" w:cstheme="minorHAnsi"/>
                <w:sz w:val="16"/>
                <w:szCs w:val="16"/>
              </w:rPr>
              <w:t>octubre se realizó la capacitación “Riesgo del Trabajo Infantil y el Sello SELTI”, dirigida al Equipo Técnico del Proyecto FOLUR y a funcionarios/as de la DGEFA, en el marco de las salvaguardas sociales y ambientales del proyecto. La actividad permitió fortalecer capacidades sobre la problemática del trabajo infantil, su marco normativo y herramientas de prevención en intervenciones productivas, especialmente agrícolas, reafirmando el compromiso institucional de incorporar la protección de derechos y promover entornos laborales libres de trabajo infantil conforme a estándares nacionales e internacionales.</w:t>
            </w:r>
          </w:p>
        </w:tc>
        <w:tc>
          <w:tcPr>
            <w:tcW w:w="6520" w:type="dxa"/>
            <w:gridSpan w:val="6"/>
            <w:tcBorders>
              <w:bottom w:val="single" w:sz="4" w:space="0" w:color="auto"/>
            </w:tcBorders>
            <w:vAlign w:val="center"/>
          </w:tcPr>
          <w:p w14:paraId="0AD0E51A" w14:textId="6FC7B416" w:rsidR="00311AF1" w:rsidRPr="00DE692F"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Aunque hay actividades de diálogo intercultural y compromisos en marcha, las limitaciones operativas de la modalidad NIM</w:t>
            </w:r>
            <w:r w:rsidR="003D6F66">
              <w:rPr>
                <w:rFonts w:asciiTheme="minorHAnsi" w:eastAsiaTheme="minorEastAsia" w:hAnsiTheme="minorHAnsi" w:cstheme="minorHAnsi"/>
                <w:sz w:val="16"/>
                <w:szCs w:val="16"/>
              </w:rPr>
              <w:t xml:space="preserve"> con pagos directos</w:t>
            </w:r>
            <w:r w:rsidRPr="00DE692F">
              <w:rPr>
                <w:rFonts w:asciiTheme="minorHAnsi" w:eastAsiaTheme="minorEastAsia" w:hAnsiTheme="minorHAnsi" w:cstheme="minorHAnsi"/>
                <w:sz w:val="16"/>
                <w:szCs w:val="16"/>
              </w:rPr>
              <w:t xml:space="preserve"> no ha permitido tener un mayor avance en la materialización de los planes de vida. </w:t>
            </w:r>
          </w:p>
          <w:p w14:paraId="0AF1DFE1" w14:textId="508A2FDD" w:rsidR="00311AF1" w:rsidRPr="00DE692F"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En este contexto, </w:t>
            </w:r>
            <w:r w:rsidR="00BE237F" w:rsidRPr="00DE692F">
              <w:rPr>
                <w:rFonts w:asciiTheme="minorHAnsi" w:eastAsiaTheme="minorEastAsia" w:hAnsiTheme="minorHAnsi" w:cstheme="minorHAnsi"/>
                <w:sz w:val="16"/>
                <w:szCs w:val="16"/>
              </w:rPr>
              <w:t xml:space="preserve">sin embargo hay un avance significativo </w:t>
            </w:r>
            <w:r w:rsidR="006221D0" w:rsidRPr="00DE692F">
              <w:rPr>
                <w:rFonts w:asciiTheme="minorHAnsi" w:eastAsiaTheme="minorEastAsia" w:hAnsiTheme="minorHAnsi" w:cstheme="minorHAnsi"/>
                <w:sz w:val="16"/>
                <w:szCs w:val="16"/>
              </w:rPr>
              <w:t xml:space="preserve">en el proceso para la elaboración de los planes de vida, mostrándose avances </w:t>
            </w:r>
            <w:r w:rsidR="00BE237F" w:rsidRPr="00DE692F">
              <w:rPr>
                <w:rFonts w:asciiTheme="minorHAnsi" w:eastAsiaTheme="minorEastAsia" w:hAnsiTheme="minorHAnsi" w:cstheme="minorHAnsi"/>
                <w:sz w:val="16"/>
                <w:szCs w:val="16"/>
              </w:rPr>
              <w:t xml:space="preserve">en relación a la primera etapa relacionada al diálogo intercultural compromisos e inducción </w:t>
            </w:r>
            <w:r w:rsidR="00655F6A" w:rsidRPr="00DE692F">
              <w:rPr>
                <w:rFonts w:asciiTheme="minorHAnsi" w:eastAsiaTheme="minorEastAsia" w:hAnsiTheme="minorHAnsi" w:cstheme="minorHAnsi"/>
                <w:sz w:val="16"/>
                <w:szCs w:val="16"/>
              </w:rPr>
              <w:t>con</w:t>
            </w:r>
            <w:r w:rsidR="00BE237F" w:rsidRPr="00DE692F">
              <w:rPr>
                <w:rFonts w:asciiTheme="minorHAnsi" w:eastAsiaTheme="minorEastAsia" w:hAnsiTheme="minorHAnsi" w:cstheme="minorHAnsi"/>
                <w:sz w:val="16"/>
                <w:szCs w:val="16"/>
              </w:rPr>
              <w:t xml:space="preserve"> las 02 organizaciones </w:t>
            </w:r>
            <w:r w:rsidR="00655F6A" w:rsidRPr="00DE692F">
              <w:rPr>
                <w:rFonts w:asciiTheme="minorHAnsi" w:eastAsiaTheme="minorEastAsia" w:hAnsiTheme="minorHAnsi" w:cstheme="minorHAnsi"/>
                <w:sz w:val="16"/>
                <w:szCs w:val="16"/>
              </w:rPr>
              <w:t>indígenas</w:t>
            </w:r>
            <w:r w:rsidR="00BE237F" w:rsidRPr="00DE692F">
              <w:rPr>
                <w:rFonts w:asciiTheme="minorHAnsi" w:eastAsiaTheme="minorEastAsia" w:hAnsiTheme="minorHAnsi" w:cstheme="minorHAnsi"/>
                <w:sz w:val="16"/>
                <w:szCs w:val="16"/>
              </w:rPr>
              <w:t xml:space="preserve"> </w:t>
            </w:r>
            <w:r w:rsidR="006221D0" w:rsidRPr="00DE692F">
              <w:rPr>
                <w:rFonts w:asciiTheme="minorHAnsi" w:eastAsiaTheme="minorEastAsia" w:hAnsiTheme="minorHAnsi" w:cstheme="minorHAnsi"/>
                <w:sz w:val="16"/>
                <w:szCs w:val="16"/>
              </w:rPr>
              <w:t xml:space="preserve">la segunda etapa de </w:t>
            </w:r>
            <w:r w:rsidR="003D6F66">
              <w:rPr>
                <w:rFonts w:asciiTheme="minorHAnsi" w:eastAsiaTheme="minorEastAsia" w:hAnsiTheme="minorHAnsi" w:cstheme="minorHAnsi"/>
                <w:sz w:val="16"/>
                <w:szCs w:val="16"/>
              </w:rPr>
              <w:t>compromisos</w:t>
            </w:r>
            <w:r w:rsidR="006221D0" w:rsidRPr="00DE692F">
              <w:rPr>
                <w:rFonts w:asciiTheme="minorHAnsi" w:eastAsiaTheme="minorEastAsia" w:hAnsiTheme="minorHAnsi" w:cstheme="minorHAnsi"/>
                <w:sz w:val="16"/>
                <w:szCs w:val="16"/>
              </w:rPr>
              <w:t xml:space="preserve"> entre las organizaciones indígenas y las 09 comunidades nativas priorizadas para la </w:t>
            </w:r>
            <w:r w:rsidR="006221D0" w:rsidRPr="00DE692F">
              <w:rPr>
                <w:rFonts w:asciiTheme="minorHAnsi" w:eastAsiaTheme="minorEastAsia" w:hAnsiTheme="minorHAnsi" w:cstheme="minorHAnsi"/>
                <w:sz w:val="16"/>
                <w:szCs w:val="16"/>
              </w:rPr>
              <w:lastRenderedPageBreak/>
              <w:t xml:space="preserve">elaboración e implementación de los planes de vida con enfoque GIP </w:t>
            </w:r>
            <w:r w:rsidR="00BE237F" w:rsidRPr="00DE692F">
              <w:rPr>
                <w:rFonts w:asciiTheme="minorHAnsi" w:eastAsiaTheme="minorEastAsia" w:hAnsiTheme="minorHAnsi" w:cstheme="minorHAnsi"/>
                <w:sz w:val="16"/>
                <w:szCs w:val="16"/>
              </w:rPr>
              <w:t xml:space="preserve">, por lo que siguiendo la </w:t>
            </w:r>
            <w:r w:rsidR="003D6F66">
              <w:rPr>
                <w:rFonts w:asciiTheme="minorHAnsi" w:eastAsiaTheme="minorEastAsia" w:hAnsiTheme="minorHAnsi" w:cstheme="minorHAnsi"/>
                <w:sz w:val="16"/>
                <w:szCs w:val="16"/>
              </w:rPr>
              <w:t>metodología señalada e</w:t>
            </w:r>
            <w:r w:rsidR="00BE237F" w:rsidRPr="00DE692F">
              <w:rPr>
                <w:rFonts w:asciiTheme="minorHAnsi" w:eastAsiaTheme="minorEastAsia" w:hAnsiTheme="minorHAnsi" w:cstheme="minorHAnsi"/>
                <w:sz w:val="16"/>
                <w:szCs w:val="16"/>
              </w:rPr>
              <w:t xml:space="preserve">n el pie de página tenemos que </w:t>
            </w:r>
            <w:r w:rsidR="003D6F66">
              <w:rPr>
                <w:rFonts w:asciiTheme="minorHAnsi" w:eastAsiaTheme="minorEastAsia" w:hAnsiTheme="minorHAnsi" w:cstheme="minorHAnsi"/>
                <w:sz w:val="16"/>
                <w:szCs w:val="16"/>
              </w:rPr>
              <w:t>un</w:t>
            </w:r>
            <w:r w:rsidRPr="00DE692F">
              <w:rPr>
                <w:rFonts w:asciiTheme="minorHAnsi" w:eastAsiaTheme="minorEastAsia" w:hAnsiTheme="minorHAnsi" w:cstheme="minorHAnsi"/>
                <w:sz w:val="16"/>
                <w:szCs w:val="16"/>
              </w:rPr>
              <w:t xml:space="preserve"> avance anual </w:t>
            </w:r>
            <w:r w:rsidR="00655F6A" w:rsidRPr="00DE692F">
              <w:rPr>
                <w:rFonts w:asciiTheme="minorHAnsi" w:eastAsiaTheme="minorEastAsia" w:hAnsiTheme="minorHAnsi" w:cstheme="minorHAnsi"/>
                <w:sz w:val="16"/>
                <w:szCs w:val="16"/>
              </w:rPr>
              <w:t xml:space="preserve"> </w:t>
            </w:r>
            <w:r w:rsidR="003D6F66">
              <w:rPr>
                <w:rFonts w:asciiTheme="minorHAnsi" w:eastAsiaTheme="minorEastAsia" w:hAnsiTheme="minorHAnsi" w:cstheme="minorHAnsi"/>
                <w:sz w:val="16"/>
                <w:szCs w:val="16"/>
              </w:rPr>
              <w:t xml:space="preserve">de </w:t>
            </w:r>
            <w:r w:rsidR="00655F6A" w:rsidRPr="00DE692F">
              <w:rPr>
                <w:rFonts w:asciiTheme="minorHAnsi" w:eastAsiaTheme="minorEastAsia" w:hAnsiTheme="minorHAnsi" w:cstheme="minorHAnsi"/>
                <w:sz w:val="16"/>
                <w:szCs w:val="16"/>
              </w:rPr>
              <w:t xml:space="preserve">4.5 % </w:t>
            </w:r>
            <w:r w:rsidRPr="00DE692F">
              <w:rPr>
                <w:rFonts w:asciiTheme="minorHAnsi" w:eastAsiaTheme="minorEastAsia" w:hAnsiTheme="minorHAnsi" w:cstheme="minorHAnsi"/>
                <w:sz w:val="16"/>
                <w:szCs w:val="16"/>
              </w:rPr>
              <w:t>en relación a</w:t>
            </w:r>
            <w:r w:rsidR="00655F6A" w:rsidRPr="00DE692F">
              <w:rPr>
                <w:rFonts w:asciiTheme="minorHAnsi" w:eastAsiaTheme="minorEastAsia" w:hAnsiTheme="minorHAnsi" w:cstheme="minorHAnsi"/>
                <w:sz w:val="16"/>
                <w:szCs w:val="16"/>
              </w:rPr>
              <w:t xml:space="preserve"> la meta final a planes de vida elaborados ( </w:t>
            </w:r>
            <w:r w:rsidR="006221D0" w:rsidRPr="00DE692F">
              <w:rPr>
                <w:rFonts w:asciiTheme="minorHAnsi" w:eastAsiaTheme="minorEastAsia" w:hAnsiTheme="minorHAnsi" w:cstheme="minorHAnsi"/>
                <w:sz w:val="16"/>
                <w:szCs w:val="16"/>
              </w:rPr>
              <w:t>50% primera etapa</w:t>
            </w:r>
            <w:r w:rsidR="00655F6A" w:rsidRPr="00DE692F">
              <w:rPr>
                <w:rFonts w:asciiTheme="minorHAnsi" w:eastAsiaTheme="minorEastAsia" w:hAnsiTheme="minorHAnsi" w:cstheme="minorHAnsi"/>
                <w:sz w:val="16"/>
                <w:szCs w:val="16"/>
              </w:rPr>
              <w:t xml:space="preserve">) , </w:t>
            </w:r>
            <w:r w:rsidRPr="00DE692F">
              <w:rPr>
                <w:rFonts w:asciiTheme="minorHAnsi" w:eastAsiaTheme="minorEastAsia" w:hAnsiTheme="minorHAnsi" w:cstheme="minorHAnsi"/>
                <w:sz w:val="16"/>
                <w:szCs w:val="16"/>
              </w:rPr>
              <w:t xml:space="preserve">sugiriendo tiempos subestimados </w:t>
            </w:r>
            <w:r w:rsidR="00655F6A" w:rsidRPr="00DE692F">
              <w:rPr>
                <w:rFonts w:asciiTheme="minorHAnsi" w:eastAsiaTheme="minorEastAsia" w:hAnsiTheme="minorHAnsi" w:cstheme="minorHAnsi"/>
                <w:sz w:val="16"/>
                <w:szCs w:val="16"/>
              </w:rPr>
              <w:t xml:space="preserve">en el POA 2025 </w:t>
            </w:r>
            <w:r w:rsidRPr="00DE692F">
              <w:rPr>
                <w:rFonts w:asciiTheme="minorHAnsi" w:eastAsiaTheme="minorEastAsia" w:hAnsiTheme="minorHAnsi" w:cstheme="minorHAnsi"/>
                <w:sz w:val="16"/>
                <w:szCs w:val="16"/>
              </w:rPr>
              <w:t>para procesos que requieren la construcción de confianza, compromisos y generación de capacidades.</w:t>
            </w:r>
          </w:p>
          <w:p w14:paraId="696A8522" w14:textId="77777777" w:rsidR="00311AF1" w:rsidRDefault="00311AF1" w:rsidP="00311AF1">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En relación, a las 04 evaluaciones de salvaguardas sociales y ambientales, se ha avanzado con 01 evaluación garantizándose la calidad del estudio con la participación del CPETI desde la elaboración de los TdR. Se realizó la convocatoria para el servicio para el estudio de trabajo infantil en las cadenas de valor de café y cacao.</w:t>
            </w:r>
          </w:p>
          <w:p w14:paraId="79F76E0B" w14:textId="77777777" w:rsidR="00E732D9" w:rsidRPr="00DE692F" w:rsidRDefault="00E732D9" w:rsidP="00311AF1">
            <w:pPr>
              <w:tabs>
                <w:tab w:val="left" w:pos="4680"/>
              </w:tabs>
              <w:rPr>
                <w:rFonts w:asciiTheme="minorHAnsi" w:eastAsiaTheme="minorEastAsia" w:hAnsiTheme="minorHAnsi" w:cstheme="minorHAnsi"/>
                <w:sz w:val="16"/>
                <w:szCs w:val="16"/>
              </w:rPr>
            </w:pPr>
          </w:p>
          <w:p w14:paraId="737C9BDB" w14:textId="1CF668BE" w:rsidR="00311AF1" w:rsidRPr="00DE692F" w:rsidRDefault="00E732D9" w:rsidP="00311AF1">
            <w:pPr>
              <w:tabs>
                <w:tab w:val="left" w:pos="4680"/>
              </w:tabs>
              <w:rPr>
                <w:rFonts w:asciiTheme="minorHAnsi" w:hAnsiTheme="minorHAnsi" w:cstheme="minorHAnsi"/>
                <w:sz w:val="16"/>
                <w:szCs w:val="16"/>
              </w:rPr>
            </w:pPr>
            <w:r>
              <w:rPr>
                <w:rFonts w:asciiTheme="minorHAnsi" w:hAnsiTheme="minorHAnsi" w:cstheme="minorHAnsi"/>
                <w:sz w:val="16"/>
                <w:szCs w:val="16"/>
              </w:rPr>
              <w:t>Es importante destacar, que l</w:t>
            </w:r>
            <w:r w:rsidR="00311AF1" w:rsidRPr="00DE692F">
              <w:rPr>
                <w:rFonts w:asciiTheme="minorHAnsi" w:hAnsiTheme="minorHAnsi" w:cstheme="minorHAnsi"/>
                <w:sz w:val="16"/>
                <w:szCs w:val="16"/>
              </w:rPr>
              <w:t>os tiempos para lograr entendimiento</w:t>
            </w:r>
            <w:r>
              <w:rPr>
                <w:rFonts w:asciiTheme="minorHAnsi" w:hAnsiTheme="minorHAnsi" w:cstheme="minorHAnsi"/>
                <w:sz w:val="16"/>
                <w:szCs w:val="16"/>
              </w:rPr>
              <w:t>s</w:t>
            </w:r>
            <w:r w:rsidR="00311AF1" w:rsidRPr="00DE692F">
              <w:rPr>
                <w:rFonts w:asciiTheme="minorHAnsi" w:hAnsiTheme="minorHAnsi" w:cstheme="minorHAnsi"/>
                <w:sz w:val="16"/>
                <w:szCs w:val="16"/>
              </w:rPr>
              <w:t xml:space="preserve">, acuerdos y compromisos para el desarrollo de actividades con organizaciones y sus comunidades son un proceso de co-construcción lo que no </w:t>
            </w:r>
            <w:r w:rsidR="003D6F66">
              <w:rPr>
                <w:rFonts w:asciiTheme="minorHAnsi" w:hAnsiTheme="minorHAnsi" w:cstheme="minorHAnsi"/>
                <w:sz w:val="16"/>
                <w:szCs w:val="16"/>
              </w:rPr>
              <w:t>fueron</w:t>
            </w:r>
            <w:r w:rsidR="00311AF1" w:rsidRPr="00DE692F">
              <w:rPr>
                <w:rFonts w:asciiTheme="minorHAnsi" w:hAnsiTheme="minorHAnsi" w:cstheme="minorHAnsi"/>
                <w:sz w:val="16"/>
                <w:szCs w:val="16"/>
              </w:rPr>
              <w:t xml:space="preserve"> </w:t>
            </w:r>
            <w:r w:rsidR="003D6F66">
              <w:rPr>
                <w:rFonts w:asciiTheme="minorHAnsi" w:hAnsiTheme="minorHAnsi" w:cstheme="minorHAnsi"/>
                <w:sz w:val="16"/>
                <w:szCs w:val="16"/>
              </w:rPr>
              <w:t>contemplados en el</w:t>
            </w:r>
            <w:r w:rsidR="00311AF1" w:rsidRPr="00DE692F">
              <w:rPr>
                <w:rFonts w:asciiTheme="minorHAnsi" w:hAnsiTheme="minorHAnsi" w:cstheme="minorHAnsi"/>
                <w:sz w:val="16"/>
                <w:szCs w:val="16"/>
              </w:rPr>
              <w:t xml:space="preserve"> POA 2025. </w:t>
            </w:r>
          </w:p>
          <w:p w14:paraId="0E740DF5" w14:textId="0EF1840A" w:rsidR="00311AF1" w:rsidRPr="00DE692F" w:rsidRDefault="00311AF1" w:rsidP="00311AF1">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Las limitaciones operativas para el otorgamiento de </w:t>
            </w:r>
            <w:r w:rsidR="003D6F66" w:rsidRPr="003D6F66">
              <w:rPr>
                <w:rFonts w:asciiTheme="minorHAnsi" w:hAnsiTheme="minorHAnsi" w:cstheme="minorHAnsi"/>
                <w:sz w:val="16"/>
                <w:szCs w:val="16"/>
              </w:rPr>
              <w:t>Subvención de Bajo Valor (LVG)</w:t>
            </w:r>
            <w:r w:rsidRPr="00DE692F">
              <w:rPr>
                <w:rFonts w:asciiTheme="minorHAnsi" w:hAnsiTheme="minorHAnsi" w:cstheme="minorHAnsi"/>
                <w:sz w:val="16"/>
                <w:szCs w:val="16"/>
              </w:rPr>
              <w:t xml:space="preserve"> bajo la modalidad NIM, ha significado un retraso en la implementación debido a que los compromisos del proyecto han sido limitados y con pausa a fin de no generar incumplimiento de acuerdos con las organizaciones indígenas, no han podido materializarse en los planes de vida como estaba previsto.</w:t>
            </w:r>
          </w:p>
          <w:p w14:paraId="1E1B7C83" w14:textId="1647D11D" w:rsidR="00311AF1" w:rsidRPr="00DE692F" w:rsidRDefault="00311AF1" w:rsidP="00311AF1">
            <w:pPr>
              <w:tabs>
                <w:tab w:val="left" w:pos="4680"/>
              </w:tabs>
              <w:rPr>
                <w:rFonts w:asciiTheme="minorHAnsi" w:hAnsiTheme="minorHAnsi" w:cstheme="minorHAnsi"/>
                <w:sz w:val="16"/>
                <w:szCs w:val="16"/>
              </w:rPr>
            </w:pPr>
          </w:p>
        </w:tc>
      </w:tr>
      <w:tr w:rsidR="00D634ED" w:rsidRPr="00DE692F" w14:paraId="262A8BEA" w14:textId="77777777" w:rsidTr="005B7DD9">
        <w:trPr>
          <w:trHeight w:val="1190"/>
        </w:trPr>
        <w:tc>
          <w:tcPr>
            <w:tcW w:w="1702" w:type="dxa"/>
            <w:tcBorders>
              <w:bottom w:val="single" w:sz="4" w:space="0" w:color="auto"/>
            </w:tcBorders>
            <w:shd w:val="clear" w:color="auto" w:fill="D0CECE" w:themeFill="background2" w:themeFillShade="E6"/>
            <w:vAlign w:val="center"/>
          </w:tcPr>
          <w:p w14:paraId="7701DCE8" w14:textId="5F477331"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1.1.3</w:t>
            </w:r>
          </w:p>
        </w:tc>
        <w:tc>
          <w:tcPr>
            <w:tcW w:w="2400" w:type="dxa"/>
            <w:tcBorders>
              <w:bottom w:val="single" w:sz="4" w:space="0" w:color="auto"/>
            </w:tcBorders>
            <w:shd w:val="clear" w:color="auto" w:fill="D0CECE" w:themeFill="background2" w:themeFillShade="E6"/>
            <w:vAlign w:val="center"/>
          </w:tcPr>
          <w:p w14:paraId="1D84AB2B"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05A73FE8"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7C4B4BFE"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6FAF4F9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338E8CC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7EBCB963"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9210327"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7282B021"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1AABCE56"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C1785E5"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3D787510"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512FBC9B"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2F635F53"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124CC4E7" w14:textId="6BDC4C11" w:rsidR="00D634ED" w:rsidRPr="00DE692F" w:rsidRDefault="00D634ED" w:rsidP="00D634E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A84ACD" w:rsidRPr="00DE692F" w14:paraId="20C1D70A" w14:textId="77777777" w:rsidTr="005B7DD9">
        <w:trPr>
          <w:trHeight w:val="688"/>
        </w:trPr>
        <w:tc>
          <w:tcPr>
            <w:tcW w:w="1702" w:type="dxa"/>
            <w:vAlign w:val="center"/>
          </w:tcPr>
          <w:p w14:paraId="49465A1D" w14:textId="13E6CEAA" w:rsidR="00A84ACD" w:rsidRPr="00DE692F" w:rsidRDefault="00A84ACD" w:rsidP="00A84ACD">
            <w:pPr>
              <w:tabs>
                <w:tab w:val="left" w:pos="4680"/>
              </w:tabs>
              <w:jc w:val="left"/>
              <w:rPr>
                <w:rFonts w:asciiTheme="minorHAnsi" w:eastAsiaTheme="minorEastAsia" w:hAnsiTheme="minorHAnsi" w:cstheme="minorHAnsi"/>
                <w:sz w:val="16"/>
                <w:szCs w:val="16"/>
                <w:highlight w:val="yellow"/>
              </w:rPr>
            </w:pPr>
            <w:r w:rsidRPr="005D6904">
              <w:rPr>
                <w:rFonts w:asciiTheme="minorHAnsi" w:eastAsiaTheme="minorEastAsia" w:hAnsiTheme="minorHAnsi" w:cstheme="minorHAnsi"/>
                <w:sz w:val="16"/>
                <w:szCs w:val="16"/>
              </w:rPr>
              <w:t>Documentos de planificación institucional y programación de presupuesto anual incluyen objetivos de la GIP</w:t>
            </w:r>
          </w:p>
        </w:tc>
        <w:tc>
          <w:tcPr>
            <w:tcW w:w="2400" w:type="dxa"/>
            <w:vAlign w:val="center"/>
          </w:tcPr>
          <w:p w14:paraId="2AFBD6AA" w14:textId="542B782D" w:rsidR="00A84ACD" w:rsidRPr="005D6904" w:rsidRDefault="003E271F"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w:t>
            </w:r>
          </w:p>
        </w:tc>
        <w:tc>
          <w:tcPr>
            <w:tcW w:w="860" w:type="dxa"/>
            <w:vAlign w:val="center"/>
          </w:tcPr>
          <w:p w14:paraId="1A670037" w14:textId="32F586BB" w:rsidR="00A84ACD" w:rsidRPr="005D6904" w:rsidRDefault="00A84AC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0</w:t>
            </w:r>
          </w:p>
        </w:tc>
        <w:tc>
          <w:tcPr>
            <w:tcW w:w="992" w:type="dxa"/>
            <w:vAlign w:val="center"/>
          </w:tcPr>
          <w:p w14:paraId="7C800A41" w14:textId="47569EB1" w:rsidR="00A84ACD" w:rsidRPr="005D6904" w:rsidRDefault="00A84AC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0</w:t>
            </w:r>
          </w:p>
        </w:tc>
        <w:tc>
          <w:tcPr>
            <w:tcW w:w="851" w:type="dxa"/>
            <w:vAlign w:val="center"/>
          </w:tcPr>
          <w:p w14:paraId="57165C5E" w14:textId="29F1919D" w:rsidR="00A84ACD" w:rsidRPr="005D6904" w:rsidRDefault="00A84AC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0</w:t>
            </w:r>
          </w:p>
        </w:tc>
        <w:tc>
          <w:tcPr>
            <w:tcW w:w="1021" w:type="dxa"/>
            <w:vAlign w:val="center"/>
          </w:tcPr>
          <w:p w14:paraId="0FE26CA0" w14:textId="10EE426E" w:rsidR="00A84ACD" w:rsidRPr="005D6904" w:rsidRDefault="003E271F"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w:t>
            </w:r>
          </w:p>
        </w:tc>
        <w:tc>
          <w:tcPr>
            <w:tcW w:w="1147" w:type="dxa"/>
            <w:vAlign w:val="center"/>
          </w:tcPr>
          <w:p w14:paraId="7C6DEDDE" w14:textId="30D6827D" w:rsidR="00A84ACD" w:rsidRPr="005D6904" w:rsidRDefault="00A84AC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0</w:t>
            </w:r>
          </w:p>
        </w:tc>
        <w:tc>
          <w:tcPr>
            <w:tcW w:w="1234" w:type="dxa"/>
            <w:vAlign w:val="center"/>
          </w:tcPr>
          <w:p w14:paraId="204B633F" w14:textId="56B542B8" w:rsidR="00A84ACD" w:rsidRPr="005D6904" w:rsidRDefault="00A84AC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EN PROCESO</w:t>
            </w:r>
          </w:p>
        </w:tc>
        <w:tc>
          <w:tcPr>
            <w:tcW w:w="1275" w:type="dxa"/>
            <w:vAlign w:val="center"/>
          </w:tcPr>
          <w:p w14:paraId="072B3CA2" w14:textId="7D5F230E" w:rsidR="00A84ACD" w:rsidRPr="005D6904" w:rsidRDefault="00CC2FBD" w:rsidP="00A84ACD">
            <w:pPr>
              <w:tabs>
                <w:tab w:val="left" w:pos="4680"/>
              </w:tabs>
              <w:jc w:val="center"/>
              <w:rPr>
                <w:rFonts w:asciiTheme="minorHAnsi" w:eastAsiaTheme="minorEastAsia" w:hAnsiTheme="minorHAnsi" w:cstheme="minorHAnsi"/>
                <w:sz w:val="16"/>
                <w:szCs w:val="16"/>
              </w:rPr>
            </w:pPr>
            <w:r w:rsidRPr="005D6904">
              <w:rPr>
                <w:rFonts w:asciiTheme="minorHAnsi" w:eastAsiaTheme="minorEastAsia" w:hAnsiTheme="minorHAnsi" w:cstheme="minorHAnsi"/>
                <w:sz w:val="16"/>
                <w:szCs w:val="16"/>
              </w:rPr>
              <w:t>2</w:t>
            </w:r>
            <w:r w:rsidR="00A84ACD" w:rsidRPr="005D6904">
              <w:rPr>
                <w:rFonts w:asciiTheme="minorHAnsi" w:eastAsiaTheme="minorEastAsia" w:hAnsiTheme="minorHAnsi" w:cstheme="minorHAnsi"/>
                <w:sz w:val="16"/>
                <w:szCs w:val="16"/>
              </w:rPr>
              <w:t>%</w:t>
            </w:r>
            <w:r w:rsidR="0030549F" w:rsidRPr="00DE692F">
              <w:rPr>
                <w:rStyle w:val="Refdenotaalpie"/>
                <w:rFonts w:eastAsiaTheme="minorEastAsia" w:cstheme="minorHAnsi"/>
                <w:b/>
                <w:bCs/>
                <w:szCs w:val="16"/>
              </w:rPr>
              <w:footnoteReference w:id="14"/>
            </w:r>
          </w:p>
        </w:tc>
      </w:tr>
      <w:tr w:rsidR="00D634ED" w:rsidRPr="00DE692F" w14:paraId="49678672" w14:textId="77777777" w:rsidTr="005B7DD9">
        <w:trPr>
          <w:trHeight w:val="176"/>
        </w:trPr>
        <w:tc>
          <w:tcPr>
            <w:tcW w:w="11482" w:type="dxa"/>
            <w:gridSpan w:val="9"/>
            <w:shd w:val="clear" w:color="auto" w:fill="D0CECE" w:themeFill="background2" w:themeFillShade="E6"/>
            <w:vAlign w:val="center"/>
          </w:tcPr>
          <w:p w14:paraId="47635959" w14:textId="77777777" w:rsidR="00D634ED" w:rsidRPr="00DE692F" w:rsidRDefault="00D634ED" w:rsidP="00D634ED">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D634ED" w:rsidRPr="00DE692F" w14:paraId="309288E8" w14:textId="77777777" w:rsidTr="005B7DD9">
        <w:trPr>
          <w:trHeight w:val="294"/>
        </w:trPr>
        <w:tc>
          <w:tcPr>
            <w:tcW w:w="1702" w:type="dxa"/>
            <w:vAlign w:val="center"/>
          </w:tcPr>
          <w:p w14:paraId="239D9876" w14:textId="66215049"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1.1.3.1</w:t>
            </w:r>
          </w:p>
        </w:tc>
        <w:tc>
          <w:tcPr>
            <w:tcW w:w="9780" w:type="dxa"/>
            <w:gridSpan w:val="8"/>
            <w:vAlign w:val="center"/>
          </w:tcPr>
          <w:p w14:paraId="6FEEA08F" w14:textId="5119011B" w:rsidR="00D634ED" w:rsidRPr="00DE692F" w:rsidRDefault="00F41C1B"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Fortalecimiento de capacidades institucionales existentes de los GOREs y los GOLOs priorizados del ámbito del proyecto, para planificar y gestionar PDT que incorporan principios GIP incluyendo el nivel de conocimiento y sensibilidad en temas de género e </w:t>
            </w:r>
            <w:r w:rsidR="00CE23E1" w:rsidRPr="00DE692F">
              <w:rPr>
                <w:rFonts w:asciiTheme="minorHAnsi" w:eastAsiaTheme="minorEastAsia" w:hAnsiTheme="minorHAnsi" w:cstheme="minorHAnsi"/>
                <w:sz w:val="16"/>
                <w:szCs w:val="16"/>
              </w:rPr>
              <w:t>interculturalidad y</w:t>
            </w:r>
            <w:r w:rsidRPr="00DE692F">
              <w:rPr>
                <w:rFonts w:asciiTheme="minorHAnsi" w:eastAsiaTheme="minorEastAsia" w:hAnsiTheme="minorHAnsi" w:cstheme="minorHAnsi"/>
                <w:sz w:val="16"/>
                <w:szCs w:val="16"/>
              </w:rPr>
              <w:t xml:space="preserve"> </w:t>
            </w:r>
            <w:r w:rsidR="00E26052">
              <w:rPr>
                <w:rFonts w:asciiTheme="minorHAnsi" w:eastAsiaTheme="minorEastAsia" w:hAnsiTheme="minorHAnsi" w:cstheme="minorHAnsi"/>
                <w:sz w:val="16"/>
                <w:szCs w:val="16"/>
              </w:rPr>
              <w:t>s</w:t>
            </w:r>
            <w:r w:rsidRPr="00DE692F">
              <w:rPr>
                <w:rFonts w:asciiTheme="minorHAnsi" w:eastAsiaTheme="minorEastAsia" w:hAnsiTheme="minorHAnsi" w:cstheme="minorHAnsi"/>
                <w:sz w:val="16"/>
                <w:szCs w:val="16"/>
              </w:rPr>
              <w:t>alvaguardas de sus recursos humanos</w:t>
            </w:r>
          </w:p>
        </w:tc>
      </w:tr>
      <w:tr w:rsidR="00D634ED" w:rsidRPr="00DE692F" w14:paraId="4DA5F60F" w14:textId="77777777" w:rsidTr="005B7DD9">
        <w:trPr>
          <w:trHeight w:val="256"/>
        </w:trPr>
        <w:tc>
          <w:tcPr>
            <w:tcW w:w="1702" w:type="dxa"/>
            <w:vAlign w:val="center"/>
          </w:tcPr>
          <w:p w14:paraId="009B08F9" w14:textId="75C44CA1"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1.1.3.2</w:t>
            </w:r>
          </w:p>
        </w:tc>
        <w:tc>
          <w:tcPr>
            <w:tcW w:w="9780" w:type="dxa"/>
            <w:gridSpan w:val="8"/>
            <w:vAlign w:val="center"/>
          </w:tcPr>
          <w:p w14:paraId="56B3E005" w14:textId="4F6A276C" w:rsidR="00D634ED" w:rsidRPr="00DE692F" w:rsidRDefault="00F41C1B"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acuerdos institucionales y/</w:t>
            </w:r>
            <w:r w:rsidR="00CE23E1" w:rsidRPr="00DE692F">
              <w:rPr>
                <w:rFonts w:asciiTheme="minorHAnsi" w:eastAsiaTheme="minorEastAsia" w:hAnsiTheme="minorHAnsi" w:cstheme="minorHAnsi"/>
                <w:sz w:val="16"/>
                <w:szCs w:val="16"/>
              </w:rPr>
              <w:t>o lineamientos</w:t>
            </w:r>
            <w:r w:rsidRPr="00DE692F">
              <w:rPr>
                <w:rFonts w:asciiTheme="minorHAnsi" w:eastAsiaTheme="minorEastAsia" w:hAnsiTheme="minorHAnsi" w:cstheme="minorHAnsi"/>
                <w:sz w:val="16"/>
                <w:szCs w:val="16"/>
              </w:rPr>
              <w:t xml:space="preserve"> para incluir los objetivos de GIP en la planificación y programación del presupuesto anual</w:t>
            </w:r>
          </w:p>
        </w:tc>
      </w:tr>
      <w:tr w:rsidR="00A84ACD" w:rsidRPr="00DE692F" w14:paraId="68013F11" w14:textId="77777777" w:rsidTr="005B7DD9">
        <w:trPr>
          <w:trHeight w:val="688"/>
        </w:trPr>
        <w:tc>
          <w:tcPr>
            <w:tcW w:w="4962" w:type="dxa"/>
            <w:gridSpan w:val="3"/>
            <w:tcBorders>
              <w:bottom w:val="single" w:sz="4" w:space="0" w:color="auto"/>
            </w:tcBorders>
            <w:vAlign w:val="center"/>
          </w:tcPr>
          <w:p w14:paraId="3CCAF6D4" w14:textId="077A49E9"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En el marco de la Ley 32387 Ley que promueve la descentralización fiscal para incentivar el desarrollo de los gobiernos locales fortaleciendo el fondo de compensación municipal (FONCOMUN), establece que las </w:t>
            </w:r>
            <w:r w:rsidR="008B388D" w:rsidRPr="00DE692F">
              <w:rPr>
                <w:rFonts w:asciiTheme="minorHAnsi" w:hAnsiTheme="minorHAnsi" w:cstheme="minorHAnsi"/>
                <w:sz w:val="16"/>
                <w:szCs w:val="16"/>
              </w:rPr>
              <w:t>municipalidades</w:t>
            </w:r>
            <w:r w:rsidRPr="00DE692F">
              <w:rPr>
                <w:rFonts w:asciiTheme="minorHAnsi" w:hAnsiTheme="minorHAnsi" w:cstheme="minorHAnsi"/>
                <w:sz w:val="16"/>
                <w:szCs w:val="16"/>
              </w:rPr>
              <w:t xml:space="preserve"> para acceder al incremento del </w:t>
            </w:r>
            <w:r w:rsidR="003436D5" w:rsidRPr="00DE692F">
              <w:rPr>
                <w:rFonts w:asciiTheme="minorHAnsi" w:hAnsiTheme="minorHAnsi" w:cstheme="minorHAnsi"/>
                <w:sz w:val="16"/>
                <w:szCs w:val="16"/>
              </w:rPr>
              <w:t>FONCOMUN</w:t>
            </w:r>
            <w:r w:rsidRPr="00DE692F">
              <w:rPr>
                <w:rFonts w:asciiTheme="minorHAnsi" w:hAnsiTheme="minorHAnsi" w:cstheme="minorHAnsi"/>
                <w:sz w:val="16"/>
                <w:szCs w:val="16"/>
              </w:rPr>
              <w:t xml:space="preserve">, deben contar con al menos dos de sus tres instrumentos de planeamiento estratégico aprobados, los cuales deben estar debidamente articulados y alineados con las políticas nacionales y con el Plan Estratégico de Desarrollo Nacional (PEDN) al 2050, en el marco del Sistema Nacional de </w:t>
            </w:r>
            <w:r w:rsidRPr="00DE692F">
              <w:rPr>
                <w:rFonts w:asciiTheme="minorHAnsi" w:hAnsiTheme="minorHAnsi" w:cstheme="minorHAnsi"/>
                <w:sz w:val="16"/>
                <w:szCs w:val="16"/>
              </w:rPr>
              <w:lastRenderedPageBreak/>
              <w:t>Planeamiento Estratégico (</w:t>
            </w:r>
            <w:r w:rsidR="005863B6" w:rsidRPr="00DE692F">
              <w:rPr>
                <w:rFonts w:asciiTheme="minorHAnsi" w:hAnsiTheme="minorHAnsi" w:cstheme="minorHAnsi"/>
                <w:sz w:val="16"/>
                <w:szCs w:val="16"/>
              </w:rPr>
              <w:t>SINAPLAN</w:t>
            </w:r>
            <w:r w:rsidRPr="00DE692F">
              <w:rPr>
                <w:rFonts w:asciiTheme="minorHAnsi" w:hAnsiTheme="minorHAnsi" w:cstheme="minorHAnsi"/>
                <w:sz w:val="16"/>
                <w:szCs w:val="16"/>
              </w:rPr>
              <w:t>).</w:t>
            </w:r>
            <w:r w:rsidR="00C20C9F">
              <w:rPr>
                <w:rFonts w:asciiTheme="minorHAnsi" w:hAnsiTheme="minorHAnsi" w:cstheme="minorHAnsi"/>
                <w:sz w:val="16"/>
                <w:szCs w:val="16"/>
              </w:rPr>
              <w:t xml:space="preserve"> </w:t>
            </w:r>
            <w:r w:rsidRPr="00DE692F">
              <w:rPr>
                <w:rFonts w:asciiTheme="minorHAnsi" w:hAnsiTheme="minorHAnsi" w:cstheme="minorHAnsi"/>
                <w:sz w:val="16"/>
                <w:szCs w:val="16"/>
              </w:rPr>
              <w:t>Los instrumentos de planeamiento estratégico que se consideran para las municipalidades son los siguientes:</w:t>
            </w:r>
          </w:p>
          <w:p w14:paraId="516C0A57" w14:textId="7777777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a) Plan de Desarrollo Local Concertado (PDLC).</w:t>
            </w:r>
          </w:p>
          <w:p w14:paraId="38D597F4" w14:textId="7777777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b) Plan Estratégico Institucional (PEI).</w:t>
            </w:r>
          </w:p>
          <w:p w14:paraId="75333824" w14:textId="7777777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c) Plan Operativo Institucional (POI).</w:t>
            </w:r>
          </w:p>
          <w:p w14:paraId="48FDA860" w14:textId="0BC5EB31"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En este contexto, en coordinación con el CEPLAN se ha iniciado el proceso de asistencia técnica para la elaboración de los PEI y POI que incorporan la GIP, en dos provincias y sus distritos priorizados. En respuesta a la realidad de las autoridades locales, caracterizada por limitado recursos humanos y limitado entendimiento de las herramientas de planificación institucional se ha priorizado la asistencia técnica, como parte de un proceso de fortalecimiento de capacidades llegándose a un total de al menos 10 gobiernos </w:t>
            </w:r>
            <w:r w:rsidR="00CC2FBD" w:rsidRPr="00DE692F">
              <w:rPr>
                <w:rFonts w:asciiTheme="minorHAnsi" w:hAnsiTheme="minorHAnsi" w:cstheme="minorHAnsi"/>
                <w:sz w:val="16"/>
                <w:szCs w:val="16"/>
              </w:rPr>
              <w:t>locales en</w:t>
            </w:r>
            <w:r w:rsidRPr="00DE692F">
              <w:rPr>
                <w:rFonts w:asciiTheme="minorHAnsi" w:hAnsiTheme="minorHAnsi" w:cstheme="minorHAnsi"/>
                <w:sz w:val="16"/>
                <w:szCs w:val="16"/>
              </w:rPr>
              <w:t xml:space="preserve"> las provincias de San Ignacio y Amazonas</w:t>
            </w:r>
            <w:r w:rsidR="00ED3B3D" w:rsidRPr="00DE692F">
              <w:rPr>
                <w:rFonts w:asciiTheme="minorHAnsi" w:hAnsiTheme="minorHAnsi" w:cstheme="minorHAnsi"/>
                <w:sz w:val="16"/>
                <w:szCs w:val="16"/>
              </w:rPr>
              <w:t xml:space="preserve">. La incorporación de la GIP se realizará en el marco de la matriz estándar del CEPLAN con aquellas autoridades que prioricen el tema ambiental </w:t>
            </w:r>
          </w:p>
          <w:p w14:paraId="4FC105E8" w14:textId="6BC6EAE8"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Por otro lado, se ha iniciado un proceso con el CEPLAN como autoridad rectora del SINAPLAN para que, en el marco de la Guía para el Planeamiento Institucional, aprobada por la Resolución de Presidencia de Consejo Directivo N° 033-2017/CEPLAN/PCD y cuya última modificación por Resolución de Presidencia de Consejo Directivo N° 0055-2024/CEPLAN/PCD como proyecto FOLUR del MINAN; se realice una propuesta de mejora a la matriz estándar incorporando la GIP y los enfoques transversales.</w:t>
            </w:r>
          </w:p>
        </w:tc>
        <w:tc>
          <w:tcPr>
            <w:tcW w:w="6520" w:type="dxa"/>
            <w:gridSpan w:val="6"/>
            <w:tcBorders>
              <w:bottom w:val="single" w:sz="4" w:space="0" w:color="auto"/>
            </w:tcBorders>
            <w:vAlign w:val="center"/>
          </w:tcPr>
          <w:p w14:paraId="4EC505A2" w14:textId="402CC268" w:rsidR="00A84ACD" w:rsidRDefault="00E26052" w:rsidP="00A84ACD">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Si bien durante e</w:t>
            </w:r>
            <w:r w:rsidR="0044176A" w:rsidRPr="00DE692F">
              <w:rPr>
                <w:rFonts w:asciiTheme="minorHAnsi" w:eastAsiaTheme="minorEastAsia" w:hAnsiTheme="minorHAnsi" w:cstheme="minorHAnsi"/>
                <w:sz w:val="16"/>
                <w:szCs w:val="16"/>
              </w:rPr>
              <w:t xml:space="preserve">l 2025 se </w:t>
            </w:r>
            <w:r>
              <w:rPr>
                <w:rFonts w:asciiTheme="minorHAnsi" w:eastAsiaTheme="minorEastAsia" w:hAnsiTheme="minorHAnsi" w:cstheme="minorHAnsi"/>
                <w:sz w:val="16"/>
                <w:szCs w:val="16"/>
              </w:rPr>
              <w:t>acordó co</w:t>
            </w:r>
            <w:r w:rsidR="0044176A" w:rsidRPr="00DE692F">
              <w:rPr>
                <w:rFonts w:asciiTheme="minorHAnsi" w:eastAsiaTheme="minorEastAsia" w:hAnsiTheme="minorHAnsi" w:cstheme="minorHAnsi"/>
                <w:sz w:val="16"/>
                <w:szCs w:val="16"/>
              </w:rPr>
              <w:t xml:space="preserve">n el CEPLAN y las provincias de Rodríguez de Mendoza y sus distritos </w:t>
            </w:r>
            <w:r w:rsidR="00ED3B3D" w:rsidRPr="00DE692F">
              <w:rPr>
                <w:rFonts w:asciiTheme="minorHAnsi" w:eastAsiaTheme="minorEastAsia" w:hAnsiTheme="minorHAnsi" w:cstheme="minorHAnsi"/>
                <w:sz w:val="16"/>
                <w:szCs w:val="16"/>
              </w:rPr>
              <w:t>priorizados y</w:t>
            </w:r>
            <w:r w:rsidR="0044176A" w:rsidRPr="00DE692F">
              <w:rPr>
                <w:rFonts w:asciiTheme="minorHAnsi" w:eastAsiaTheme="minorEastAsia" w:hAnsiTheme="minorHAnsi" w:cstheme="minorHAnsi"/>
                <w:sz w:val="16"/>
                <w:szCs w:val="16"/>
              </w:rPr>
              <w:t xml:space="preserve"> la Provincia de San Ignacio para la formulación de sus PEI y POI</w:t>
            </w:r>
            <w:r w:rsidR="00ED3B3D" w:rsidRPr="00DE692F">
              <w:rPr>
                <w:rFonts w:asciiTheme="minorHAnsi" w:eastAsiaTheme="minorEastAsia" w:hAnsiTheme="minorHAnsi" w:cstheme="minorHAnsi"/>
                <w:sz w:val="16"/>
                <w:szCs w:val="16"/>
              </w:rPr>
              <w:t>. De acuerdo al cuadro para la medición de los avances</w:t>
            </w:r>
            <w:r>
              <w:rPr>
                <w:rFonts w:asciiTheme="minorHAnsi" w:eastAsiaTheme="minorEastAsia" w:hAnsiTheme="minorHAnsi" w:cstheme="minorHAnsi"/>
                <w:sz w:val="16"/>
                <w:szCs w:val="16"/>
              </w:rPr>
              <w:t xml:space="preserve"> a la fecha, se tiene </w:t>
            </w:r>
            <w:r w:rsidR="00CE23E1">
              <w:rPr>
                <w:rFonts w:asciiTheme="minorHAnsi" w:eastAsiaTheme="minorEastAsia" w:hAnsiTheme="minorHAnsi" w:cstheme="minorHAnsi"/>
                <w:sz w:val="16"/>
                <w:szCs w:val="16"/>
              </w:rPr>
              <w:t>que,</w:t>
            </w:r>
            <w:r>
              <w:rPr>
                <w:rFonts w:asciiTheme="minorHAnsi" w:eastAsiaTheme="minorEastAsia" w:hAnsiTheme="minorHAnsi" w:cstheme="minorHAnsi"/>
                <w:sz w:val="16"/>
                <w:szCs w:val="16"/>
              </w:rPr>
              <w:t xml:space="preserve"> </w:t>
            </w:r>
            <w:r w:rsidR="00ED3B3D" w:rsidRPr="00DE692F">
              <w:rPr>
                <w:rFonts w:asciiTheme="minorHAnsi" w:eastAsiaTheme="minorEastAsia" w:hAnsiTheme="minorHAnsi" w:cstheme="minorHAnsi"/>
                <w:sz w:val="16"/>
                <w:szCs w:val="16"/>
              </w:rPr>
              <w:t xml:space="preserve">de los 10 presupuestos </w:t>
            </w:r>
            <w:r>
              <w:rPr>
                <w:rFonts w:asciiTheme="minorHAnsi" w:eastAsiaTheme="minorEastAsia" w:hAnsiTheme="minorHAnsi" w:cstheme="minorHAnsi"/>
                <w:sz w:val="16"/>
                <w:szCs w:val="16"/>
              </w:rPr>
              <w:t xml:space="preserve">de meta total, se </w:t>
            </w:r>
            <w:r w:rsidR="00ED3B3D" w:rsidRPr="00DE692F">
              <w:rPr>
                <w:rFonts w:asciiTheme="minorHAnsi" w:eastAsiaTheme="minorEastAsia" w:hAnsiTheme="minorHAnsi" w:cstheme="minorHAnsi"/>
                <w:sz w:val="16"/>
                <w:szCs w:val="16"/>
              </w:rPr>
              <w:t>tenemos dos acuerdos para la formulación de estos instrumentos</w:t>
            </w:r>
            <w:r w:rsidR="00CC2FBD" w:rsidRPr="00DE692F">
              <w:rPr>
                <w:rFonts w:asciiTheme="minorHAnsi" w:eastAsiaTheme="minorEastAsia" w:hAnsiTheme="minorHAnsi" w:cstheme="minorHAnsi"/>
                <w:sz w:val="16"/>
                <w:szCs w:val="16"/>
              </w:rPr>
              <w:t xml:space="preserve"> a nivel provincial que equivale a un 2% de avance de la m</w:t>
            </w:r>
            <w:r w:rsidR="00CE3258">
              <w:rPr>
                <w:rFonts w:asciiTheme="minorHAnsi" w:eastAsiaTheme="minorEastAsia" w:hAnsiTheme="minorHAnsi" w:cstheme="minorHAnsi"/>
                <w:sz w:val="16"/>
                <w:szCs w:val="16"/>
              </w:rPr>
              <w:t>e</w:t>
            </w:r>
            <w:r w:rsidR="00CC2FBD" w:rsidRPr="00DE692F">
              <w:rPr>
                <w:rFonts w:asciiTheme="minorHAnsi" w:eastAsiaTheme="minorEastAsia" w:hAnsiTheme="minorHAnsi" w:cstheme="minorHAnsi"/>
                <w:sz w:val="16"/>
                <w:szCs w:val="16"/>
              </w:rPr>
              <w:t>ta final.</w:t>
            </w:r>
          </w:p>
          <w:p w14:paraId="58F8E059" w14:textId="77777777" w:rsidR="00E732D9" w:rsidRDefault="00E732D9" w:rsidP="00A84ACD">
            <w:pPr>
              <w:tabs>
                <w:tab w:val="left" w:pos="4680"/>
              </w:tabs>
              <w:rPr>
                <w:rFonts w:asciiTheme="minorHAnsi" w:eastAsiaTheme="minorEastAsia" w:hAnsiTheme="minorHAnsi" w:cstheme="minorHAnsi"/>
                <w:sz w:val="16"/>
                <w:szCs w:val="16"/>
              </w:rPr>
            </w:pPr>
          </w:p>
          <w:p w14:paraId="51FF1464" w14:textId="79722F2E" w:rsidR="00A84ACD" w:rsidRDefault="00A84ACD" w:rsidP="00A84ACD">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La brecha encontrada en el territorio </w:t>
            </w:r>
            <w:r w:rsidR="00A03A36" w:rsidRPr="00DE692F">
              <w:rPr>
                <w:rFonts w:asciiTheme="minorHAnsi" w:eastAsiaTheme="minorEastAsia" w:hAnsiTheme="minorHAnsi" w:cstheme="minorHAnsi"/>
                <w:sz w:val="16"/>
                <w:szCs w:val="16"/>
              </w:rPr>
              <w:t>en relación con</w:t>
            </w:r>
            <w:r w:rsidRPr="00DE692F">
              <w:rPr>
                <w:rFonts w:asciiTheme="minorHAnsi" w:eastAsiaTheme="minorEastAsia" w:hAnsiTheme="minorHAnsi" w:cstheme="minorHAnsi"/>
                <w:sz w:val="16"/>
                <w:szCs w:val="16"/>
              </w:rPr>
              <w:t xml:space="preserve"> los PEI ha sido </w:t>
            </w:r>
            <w:r w:rsidRPr="00DE692F">
              <w:rPr>
                <w:rFonts w:asciiTheme="minorHAnsi" w:eastAsiaTheme="minorEastAsia" w:hAnsiTheme="minorHAnsi" w:cstheme="minorHAnsi"/>
                <w:sz w:val="16"/>
                <w:szCs w:val="16"/>
              </w:rPr>
              <w:t>alrededor del 8</w:t>
            </w:r>
            <w:r w:rsidR="008B2CAC">
              <w:rPr>
                <w:rFonts w:asciiTheme="minorHAnsi" w:eastAsiaTheme="minorEastAsia" w:hAnsiTheme="minorHAnsi" w:cstheme="minorHAnsi"/>
                <w:sz w:val="16"/>
                <w:szCs w:val="16"/>
              </w:rPr>
              <w:t>3</w:t>
            </w:r>
            <w:r w:rsidRPr="00DE692F">
              <w:rPr>
                <w:rFonts w:asciiTheme="minorHAnsi" w:eastAsiaTheme="minorEastAsia" w:hAnsiTheme="minorHAnsi" w:cstheme="minorHAnsi"/>
                <w:sz w:val="16"/>
                <w:szCs w:val="16"/>
              </w:rPr>
              <w:t xml:space="preserve"> % en la Provincia de </w:t>
            </w:r>
            <w:r w:rsidR="00ED3B3D" w:rsidRPr="00DE692F">
              <w:rPr>
                <w:rFonts w:asciiTheme="minorHAnsi" w:eastAsiaTheme="minorEastAsia" w:hAnsiTheme="minorHAnsi" w:cstheme="minorHAnsi"/>
                <w:sz w:val="16"/>
                <w:szCs w:val="16"/>
              </w:rPr>
              <w:t>Rodríguez</w:t>
            </w:r>
            <w:r w:rsidRPr="00DE692F">
              <w:rPr>
                <w:rFonts w:asciiTheme="minorHAnsi" w:eastAsiaTheme="minorEastAsia" w:hAnsiTheme="minorHAnsi" w:cstheme="minorHAnsi"/>
                <w:sz w:val="16"/>
                <w:szCs w:val="16"/>
              </w:rPr>
              <w:t xml:space="preserve"> de Mendoza</w:t>
            </w:r>
            <w:r w:rsidR="00ED3B3D" w:rsidRPr="00DE692F">
              <w:rPr>
                <w:rFonts w:asciiTheme="minorHAnsi" w:eastAsiaTheme="minorEastAsia" w:hAnsiTheme="minorHAnsi" w:cstheme="minorHAnsi"/>
                <w:sz w:val="16"/>
                <w:szCs w:val="16"/>
              </w:rPr>
              <w:t xml:space="preserve"> y sus distritos, solo los distritos de Omia y Longar cuentan con PEI aprobado con la conformidad de CEPLAN y ni incorporan la GIP. E</w:t>
            </w:r>
            <w:r w:rsidRPr="00DE692F">
              <w:rPr>
                <w:rFonts w:asciiTheme="minorHAnsi" w:eastAsiaTheme="minorEastAsia" w:hAnsiTheme="minorHAnsi" w:cstheme="minorHAnsi"/>
                <w:sz w:val="16"/>
                <w:szCs w:val="16"/>
              </w:rPr>
              <w:t xml:space="preserve">n el caso de la Provincia de </w:t>
            </w:r>
            <w:r w:rsidRPr="00DE692F">
              <w:rPr>
                <w:rFonts w:asciiTheme="minorHAnsi" w:eastAsiaTheme="minorEastAsia" w:hAnsiTheme="minorHAnsi" w:cstheme="minorHAnsi"/>
                <w:sz w:val="16"/>
                <w:szCs w:val="16"/>
              </w:rPr>
              <w:lastRenderedPageBreak/>
              <w:t>San Ignacio, se ha visto motivada por la Ley del FONCOMUN</w:t>
            </w:r>
            <w:r w:rsidR="00ED3B3D" w:rsidRPr="00DE692F">
              <w:rPr>
                <w:rFonts w:asciiTheme="minorHAnsi" w:eastAsiaTheme="minorEastAsia" w:hAnsiTheme="minorHAnsi" w:cstheme="minorHAnsi"/>
                <w:sz w:val="16"/>
                <w:szCs w:val="16"/>
              </w:rPr>
              <w:t xml:space="preserve"> por lo que todos sus distritos han aprobado su PEI con la conformidad del CEPLAN y no incorporan la GIP</w:t>
            </w:r>
            <w:r w:rsidRPr="00DE692F">
              <w:rPr>
                <w:rFonts w:asciiTheme="minorHAnsi" w:eastAsiaTheme="minorEastAsia" w:hAnsiTheme="minorHAnsi" w:cstheme="minorHAnsi"/>
                <w:sz w:val="16"/>
                <w:szCs w:val="16"/>
              </w:rPr>
              <w:t>,</w:t>
            </w:r>
            <w:r w:rsidR="00ED3B3D" w:rsidRPr="00DE692F">
              <w:rPr>
                <w:rFonts w:asciiTheme="minorHAnsi" w:eastAsiaTheme="minorEastAsia" w:hAnsiTheme="minorHAnsi" w:cstheme="minorHAnsi"/>
                <w:sz w:val="16"/>
                <w:szCs w:val="16"/>
              </w:rPr>
              <w:t xml:space="preserve"> a excepción de la Municipalidad Provincial de San Ignacio que no cuenta con PEI</w:t>
            </w:r>
            <w:r w:rsidRPr="00DE692F">
              <w:rPr>
                <w:rFonts w:asciiTheme="minorHAnsi" w:eastAsiaTheme="minorEastAsia" w:hAnsiTheme="minorHAnsi" w:cstheme="minorHAnsi"/>
                <w:sz w:val="16"/>
                <w:szCs w:val="16"/>
              </w:rPr>
              <w:t xml:space="preserve">. </w:t>
            </w:r>
            <w:r w:rsidR="00ED3B3D" w:rsidRPr="00DE692F">
              <w:rPr>
                <w:rFonts w:asciiTheme="minorHAnsi" w:eastAsiaTheme="minorEastAsia" w:hAnsiTheme="minorHAnsi" w:cstheme="minorHAnsi"/>
                <w:sz w:val="16"/>
                <w:szCs w:val="16"/>
              </w:rPr>
              <w:t>Al igual que lo mencionado para los PDLC existe una d</w:t>
            </w:r>
            <w:r w:rsidRPr="00DE692F">
              <w:rPr>
                <w:rFonts w:asciiTheme="minorHAnsi" w:eastAsiaTheme="minorEastAsia" w:hAnsiTheme="minorHAnsi" w:cstheme="minorHAnsi"/>
                <w:sz w:val="16"/>
                <w:szCs w:val="16"/>
              </w:rPr>
              <w:t xml:space="preserve">ébil capacidad de los GOLOS traducida en reducido personal en las áreas de planeamiento y oficinas técnicas. La incorporación de presupuestos en la programación anual y multianual requiere de una secuencia de intervención </w:t>
            </w:r>
            <w:r w:rsidR="00ED3B3D" w:rsidRPr="00DE692F">
              <w:rPr>
                <w:rFonts w:asciiTheme="minorHAnsi" w:eastAsiaTheme="minorEastAsia" w:hAnsiTheme="minorHAnsi" w:cstheme="minorHAnsi"/>
                <w:sz w:val="16"/>
                <w:szCs w:val="16"/>
              </w:rPr>
              <w:t>sostenida del proyecto para lograr resultados institucionales en el mediano plazo.</w:t>
            </w:r>
            <w:r w:rsidRPr="00DE692F">
              <w:rPr>
                <w:rFonts w:asciiTheme="minorHAnsi" w:eastAsiaTheme="minorEastAsia" w:hAnsiTheme="minorHAnsi" w:cstheme="minorHAnsi"/>
                <w:sz w:val="16"/>
                <w:szCs w:val="16"/>
              </w:rPr>
              <w:t xml:space="preserve"> </w:t>
            </w:r>
          </w:p>
          <w:p w14:paraId="3B0C756A" w14:textId="02073E6A" w:rsidR="0030549F" w:rsidRPr="00DE692F" w:rsidRDefault="0030549F" w:rsidP="00A84ACD">
            <w:pPr>
              <w:tabs>
                <w:tab w:val="left" w:pos="4680"/>
              </w:tabs>
              <w:rPr>
                <w:rFonts w:asciiTheme="minorHAnsi" w:hAnsiTheme="minorHAnsi" w:cstheme="minorHAnsi"/>
                <w:sz w:val="16"/>
                <w:szCs w:val="16"/>
              </w:rPr>
            </w:pPr>
            <w:r>
              <w:rPr>
                <w:rFonts w:asciiTheme="minorHAnsi" w:eastAsiaTheme="minorEastAsia" w:hAnsiTheme="minorHAnsi" w:cstheme="minorHAnsi"/>
                <w:sz w:val="16"/>
                <w:szCs w:val="16"/>
              </w:rPr>
              <w:t>Para el 2026, se espera contar con al menos 02 PEI a nivel de gobiernos provinciales aprobados.</w:t>
            </w:r>
          </w:p>
        </w:tc>
      </w:tr>
      <w:tr w:rsidR="00D634ED" w:rsidRPr="00DE692F" w14:paraId="67345574"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22516EDC" w14:textId="77777777" w:rsidR="00D634ED" w:rsidRPr="00DE692F" w:rsidRDefault="00D634ED" w:rsidP="00D634ED">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1:  </w:t>
            </w:r>
            <w:r w:rsidRPr="00DE692F">
              <w:rPr>
                <w:rFonts w:asciiTheme="minorHAnsi" w:eastAsiaTheme="minorEastAsia" w:hAnsiTheme="minorHAnsi" w:cstheme="minorHAnsi"/>
                <w:sz w:val="16"/>
                <w:szCs w:val="16"/>
              </w:rPr>
              <w:t>Desarrollo de sistemas de gestión integrada del paisaje (GIP).</w:t>
            </w:r>
          </w:p>
          <w:p w14:paraId="2916B541" w14:textId="0204F075" w:rsidR="00D634ED" w:rsidRPr="00DE692F" w:rsidRDefault="00D634ED" w:rsidP="00D634ED">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2:  </w:t>
            </w:r>
            <w:r w:rsidRPr="00DE692F">
              <w:rPr>
                <w:rFonts w:asciiTheme="minorHAnsi" w:eastAsiaTheme="minorEastAsia" w:hAnsiTheme="minorHAnsi" w:cstheme="minorHAnsi"/>
                <w:sz w:val="16"/>
                <w:szCs w:val="16"/>
              </w:rPr>
              <w:t>Los planes de uso de la tierra, la fiscalización y el monitoreo, con enfoque de género e interculturalidad, apoyan el cambio de los pequeños agricultores hacia commodities libres de deforestación (CLD)</w:t>
            </w:r>
          </w:p>
        </w:tc>
      </w:tr>
      <w:tr w:rsidR="00D634ED" w:rsidRPr="00DE692F" w14:paraId="30F5E9F0" w14:textId="77777777" w:rsidTr="005B7DD9">
        <w:trPr>
          <w:trHeight w:val="1190"/>
        </w:trPr>
        <w:tc>
          <w:tcPr>
            <w:tcW w:w="1702" w:type="dxa"/>
            <w:tcBorders>
              <w:bottom w:val="single" w:sz="4" w:space="0" w:color="auto"/>
            </w:tcBorders>
            <w:shd w:val="clear" w:color="auto" w:fill="D0CECE" w:themeFill="background2" w:themeFillShade="E6"/>
            <w:vAlign w:val="center"/>
          </w:tcPr>
          <w:p w14:paraId="12DD6E08" w14:textId="3E28608A"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1.2.1</w:t>
            </w:r>
          </w:p>
        </w:tc>
        <w:tc>
          <w:tcPr>
            <w:tcW w:w="2400" w:type="dxa"/>
            <w:tcBorders>
              <w:bottom w:val="single" w:sz="4" w:space="0" w:color="auto"/>
            </w:tcBorders>
            <w:shd w:val="clear" w:color="auto" w:fill="D0CECE" w:themeFill="background2" w:themeFillShade="E6"/>
            <w:vAlign w:val="center"/>
          </w:tcPr>
          <w:p w14:paraId="53D2F03D"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E572B00"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51198CD8"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5C3D1F3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2FE4997E"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6FE135E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DDF16C0"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2788037"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43DBAE39"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5DB79E4A"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8407810"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C4AEF55"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31CC4A79"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0551DF73" w14:textId="159B8BB7" w:rsidR="00D634ED" w:rsidRPr="00DE692F" w:rsidRDefault="00D634ED" w:rsidP="00D634E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A84ACD" w:rsidRPr="00DE692F" w14:paraId="34CBC2D1" w14:textId="77777777" w:rsidTr="005B7DD9">
        <w:trPr>
          <w:trHeight w:val="688"/>
        </w:trPr>
        <w:tc>
          <w:tcPr>
            <w:tcW w:w="1702" w:type="dxa"/>
            <w:vAlign w:val="center"/>
          </w:tcPr>
          <w:p w14:paraId="651C67A3" w14:textId="4969421B" w:rsidR="00A84ACD" w:rsidRPr="00DE692F" w:rsidRDefault="00A84ACD" w:rsidP="00A84ACD">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Políticas de uso del suelo y capacidades de las autoridades regionales y locales fortalecidas, basados en tecnología para supervisar la implementación de políticas, los instrumentos de planificación del uso del suelo y el mantenimiento de áreas de conservación de bosques y hábitats</w:t>
            </w:r>
          </w:p>
        </w:tc>
        <w:tc>
          <w:tcPr>
            <w:tcW w:w="2400" w:type="dxa"/>
            <w:vAlign w:val="center"/>
          </w:tcPr>
          <w:p w14:paraId="0DC0D50C" w14:textId="67280D33" w:rsidR="00A84ACD" w:rsidRPr="00DE692F" w:rsidRDefault="0030549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39B9F85D" w14:textId="40CF6100"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2E79DACF" w14:textId="3036AD8B"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13CBF492" w14:textId="3E21EA55"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12722F74" w14:textId="41FDC3C8" w:rsidR="00A84ACD" w:rsidRPr="00DE692F" w:rsidRDefault="0030549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41932146" w14:textId="4BE6AE4F"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447053BF" w14:textId="56C542AE"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En proceso </w:t>
            </w:r>
          </w:p>
        </w:tc>
        <w:tc>
          <w:tcPr>
            <w:tcW w:w="1275" w:type="dxa"/>
            <w:vAlign w:val="center"/>
          </w:tcPr>
          <w:p w14:paraId="24498DA5" w14:textId="0B4B9691" w:rsidR="00A84ACD" w:rsidRPr="00DE692F" w:rsidRDefault="00E66726"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15</w:t>
            </w:r>
            <w:r w:rsidR="00A84ACD" w:rsidRPr="00DE692F">
              <w:rPr>
                <w:rFonts w:asciiTheme="minorHAnsi" w:eastAsiaTheme="minorEastAsia" w:hAnsiTheme="minorHAnsi" w:cstheme="minorHAnsi"/>
                <w:sz w:val="16"/>
                <w:szCs w:val="16"/>
              </w:rPr>
              <w:t>%</w:t>
            </w:r>
            <w:r w:rsidR="0030549F" w:rsidRPr="00DE692F">
              <w:rPr>
                <w:rStyle w:val="Refdenotaalpie"/>
                <w:rFonts w:eastAsiaTheme="minorEastAsia" w:cstheme="minorHAnsi"/>
                <w:b/>
                <w:bCs/>
                <w:szCs w:val="16"/>
              </w:rPr>
              <w:footnoteReference w:id="15"/>
            </w:r>
          </w:p>
        </w:tc>
      </w:tr>
      <w:tr w:rsidR="00D634ED" w:rsidRPr="00DE692F" w14:paraId="26AAFA73" w14:textId="77777777" w:rsidTr="005B7DD9">
        <w:trPr>
          <w:trHeight w:val="176"/>
        </w:trPr>
        <w:tc>
          <w:tcPr>
            <w:tcW w:w="11482" w:type="dxa"/>
            <w:gridSpan w:val="9"/>
            <w:shd w:val="clear" w:color="auto" w:fill="D0CECE" w:themeFill="background2" w:themeFillShade="E6"/>
            <w:vAlign w:val="center"/>
          </w:tcPr>
          <w:p w14:paraId="07FD9788" w14:textId="77777777" w:rsidR="00D634ED" w:rsidRPr="00DE692F" w:rsidRDefault="00D634ED" w:rsidP="00D634ED">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D634ED" w:rsidRPr="00DE692F" w14:paraId="433AA79B" w14:textId="77777777" w:rsidTr="005B7DD9">
        <w:trPr>
          <w:trHeight w:val="294"/>
        </w:trPr>
        <w:tc>
          <w:tcPr>
            <w:tcW w:w="1702" w:type="dxa"/>
            <w:vAlign w:val="center"/>
          </w:tcPr>
          <w:p w14:paraId="0856D08B" w14:textId="26F4EECC"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1.2.1.1</w:t>
            </w:r>
          </w:p>
        </w:tc>
        <w:tc>
          <w:tcPr>
            <w:tcW w:w="9780" w:type="dxa"/>
            <w:gridSpan w:val="8"/>
            <w:vAlign w:val="center"/>
          </w:tcPr>
          <w:p w14:paraId="058B11E8" w14:textId="1872204D" w:rsidR="00D634ED" w:rsidRPr="00DE692F" w:rsidRDefault="00E167E7"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Análisis del impacto a nivel de paisaje de las políticas de promoción de café y cacao, sus sistemas de monitoreo asociados a prácticas libres de deforestación, las regulaciones de cambio de uso de la tierra; evaluando su consistencia, coherencia y congruencia</w:t>
            </w:r>
          </w:p>
        </w:tc>
      </w:tr>
      <w:tr w:rsidR="00D634ED" w:rsidRPr="00DE692F" w14:paraId="5843EB18" w14:textId="77777777" w:rsidTr="005B7DD9">
        <w:trPr>
          <w:trHeight w:val="256"/>
        </w:trPr>
        <w:tc>
          <w:tcPr>
            <w:tcW w:w="1702" w:type="dxa"/>
            <w:vAlign w:val="center"/>
          </w:tcPr>
          <w:p w14:paraId="3C3CB33C" w14:textId="1044EFBE"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1.2.1.2</w:t>
            </w:r>
          </w:p>
        </w:tc>
        <w:tc>
          <w:tcPr>
            <w:tcW w:w="9780" w:type="dxa"/>
            <w:gridSpan w:val="8"/>
            <w:vAlign w:val="center"/>
          </w:tcPr>
          <w:p w14:paraId="7FB4DB09" w14:textId="342211A2" w:rsidR="00D634ED" w:rsidRPr="00DE692F" w:rsidRDefault="00E167E7"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Brindar soporte a procesos de formalización de la tenencia de la tierra forestal a través del otorgamiento de Cesiones de Uso para Sistemas Agroforestales - CUSAF, en áreas priorizadas por los GOREs de Cajamarca y Amazonas.</w:t>
            </w:r>
          </w:p>
        </w:tc>
      </w:tr>
      <w:tr w:rsidR="00A84ACD" w:rsidRPr="00DE692F" w14:paraId="0ED6D749" w14:textId="77777777" w:rsidTr="005B7DD9">
        <w:trPr>
          <w:trHeight w:val="688"/>
        </w:trPr>
        <w:tc>
          <w:tcPr>
            <w:tcW w:w="4962" w:type="dxa"/>
            <w:gridSpan w:val="3"/>
            <w:tcBorders>
              <w:bottom w:val="single" w:sz="4" w:space="0" w:color="auto"/>
            </w:tcBorders>
            <w:vAlign w:val="center"/>
          </w:tcPr>
          <w:p w14:paraId="51C76EB7" w14:textId="7777777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lastRenderedPageBreak/>
              <w:t>El soporte al otorgamiento de contrato de cesión en uso para sistemas agroforestales (CCUSAF) ha sido trabajado con el SERFOR y con las regiones en el ámbito del proyecto.</w:t>
            </w:r>
          </w:p>
          <w:p w14:paraId="38B795B5" w14:textId="77777777" w:rsidR="004E4046"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Con la ATFFS Cajamarca, se ha logrado la aprobación de 50 CCUSAF con agricultores del Distrito de Tabaconas, los que han sido aprobados por Resolución Administrativa</w:t>
            </w:r>
            <w:r w:rsidR="0030549F">
              <w:rPr>
                <w:rFonts w:asciiTheme="minorHAnsi" w:hAnsiTheme="minorHAnsi" w:cstheme="minorHAnsi"/>
                <w:sz w:val="16"/>
                <w:szCs w:val="16"/>
              </w:rPr>
              <w:t>, que corresponden a 57.57 hectáreas</w:t>
            </w:r>
            <w:r w:rsidRPr="00DE692F">
              <w:rPr>
                <w:rFonts w:asciiTheme="minorHAnsi" w:hAnsiTheme="minorHAnsi" w:cstheme="minorHAnsi"/>
                <w:sz w:val="16"/>
                <w:szCs w:val="16"/>
              </w:rPr>
              <w:t>.</w:t>
            </w:r>
          </w:p>
          <w:p w14:paraId="12474038" w14:textId="4E41431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Con el GORE Loreto, se ha realizado la determinación de dos polígonos CCUSAF para el otorgamiento de oficio de CCUSAF,</w:t>
            </w:r>
            <w:r w:rsidR="0030549F">
              <w:rPr>
                <w:rFonts w:asciiTheme="minorHAnsi" w:hAnsiTheme="minorHAnsi" w:cstheme="minorHAnsi"/>
                <w:sz w:val="16"/>
                <w:szCs w:val="16"/>
              </w:rPr>
              <w:t xml:space="preserve"> que corresponde a 1,7+0.26 hectáreas. Además, se realizó </w:t>
            </w:r>
            <w:r w:rsidRPr="00DE692F">
              <w:rPr>
                <w:rFonts w:asciiTheme="minorHAnsi" w:hAnsiTheme="minorHAnsi" w:cstheme="minorHAnsi"/>
                <w:sz w:val="16"/>
                <w:szCs w:val="16"/>
              </w:rPr>
              <w:t>el fortalecimiento de capacidades a titulares CCUSAF en alianza con el OSINFOR</w:t>
            </w:r>
          </w:p>
          <w:p w14:paraId="52777018" w14:textId="77777777"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Con el GORE Amazonas, se ha realizado la capacitación a 50 titulares CCUSAF con la mochila forestal en coordinación con SERFOR y OSINFOR.</w:t>
            </w:r>
          </w:p>
          <w:p w14:paraId="1483DACE" w14:textId="4B143B0F"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Asimismo, como parte de las actividades se ha realizado la co-creación de la mochila forestal conservación y aprovechamiento sostenible de nuestros bosques dirigida a comunidades indígenas, todo ello con la finalidad de generar conciencia para lograr paisajes sostenibles.</w:t>
            </w:r>
          </w:p>
        </w:tc>
        <w:tc>
          <w:tcPr>
            <w:tcW w:w="6520" w:type="dxa"/>
            <w:gridSpan w:val="6"/>
            <w:tcBorders>
              <w:bottom w:val="single" w:sz="4" w:space="0" w:color="auto"/>
            </w:tcBorders>
            <w:vAlign w:val="center"/>
          </w:tcPr>
          <w:p w14:paraId="6BDBCEAB" w14:textId="129267EA" w:rsidR="00CC2FBD" w:rsidRPr="00DE692F" w:rsidRDefault="00CC2FBD" w:rsidP="00CC2FBD">
            <w:pPr>
              <w:tabs>
                <w:tab w:val="left" w:pos="4680"/>
              </w:tabs>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w:t>
            </w:r>
            <w:r w:rsidR="00DC0409">
              <w:rPr>
                <w:rFonts w:asciiTheme="minorHAnsi" w:eastAsiaTheme="minorEastAsia" w:hAnsiTheme="minorHAnsi" w:cstheme="minorHAnsi"/>
                <w:sz w:val="16"/>
                <w:szCs w:val="16"/>
              </w:rPr>
              <w:t>i bien se</w:t>
            </w:r>
            <w:r w:rsidRPr="00DE692F">
              <w:rPr>
                <w:rFonts w:asciiTheme="minorHAnsi" w:eastAsiaTheme="minorEastAsia" w:hAnsiTheme="minorHAnsi" w:cstheme="minorHAnsi"/>
                <w:sz w:val="16"/>
                <w:szCs w:val="16"/>
              </w:rPr>
              <w:t xml:space="preserve"> tiene un avance importante con dos autoridades forestales locales que implementan herramientas políticas del uso del suelo orientadas a la libre deforestación como los CCUSAF.</w:t>
            </w:r>
            <w:r w:rsidR="00DC0409">
              <w:rPr>
                <w:rFonts w:asciiTheme="minorHAnsi" w:eastAsiaTheme="minorEastAsia" w:hAnsiTheme="minorHAnsi" w:cstheme="minorHAnsi"/>
                <w:sz w:val="16"/>
                <w:szCs w:val="16"/>
              </w:rPr>
              <w:t xml:space="preserve"> A la fecha está pendiente la firma de los contratos de Cesión en uso por parte de los productores, en e</w:t>
            </w:r>
            <w:r w:rsidR="00B479D6">
              <w:rPr>
                <w:rFonts w:asciiTheme="minorHAnsi" w:eastAsiaTheme="minorEastAsia" w:hAnsiTheme="minorHAnsi" w:cstheme="minorHAnsi"/>
                <w:sz w:val="16"/>
                <w:szCs w:val="16"/>
              </w:rPr>
              <w:t>l</w:t>
            </w:r>
            <w:r w:rsidR="00DC0409">
              <w:rPr>
                <w:rFonts w:asciiTheme="minorHAnsi" w:eastAsiaTheme="minorEastAsia" w:hAnsiTheme="minorHAnsi" w:cstheme="minorHAnsi"/>
                <w:sz w:val="16"/>
                <w:szCs w:val="16"/>
              </w:rPr>
              <w:t xml:space="preserve"> caso de la ATF</w:t>
            </w:r>
            <w:r w:rsidRPr="00DE692F">
              <w:rPr>
                <w:rFonts w:asciiTheme="minorHAnsi" w:eastAsiaTheme="minorEastAsia" w:hAnsiTheme="minorHAnsi" w:cstheme="minorHAnsi"/>
                <w:sz w:val="16"/>
                <w:szCs w:val="16"/>
              </w:rPr>
              <w:t>FS Cajamarca</w:t>
            </w:r>
            <w:r w:rsidR="00DC0409">
              <w:rPr>
                <w:rFonts w:asciiTheme="minorHAnsi" w:eastAsiaTheme="minorEastAsia" w:hAnsiTheme="minorHAnsi" w:cstheme="minorHAnsi"/>
                <w:sz w:val="16"/>
                <w:szCs w:val="16"/>
              </w:rPr>
              <w:t xml:space="preserve"> y en el caso de Alto Amazonas, se cuenta con un informe para que la autoridad forestal del GORE Loreto</w:t>
            </w:r>
            <w:r w:rsidR="00B479D6">
              <w:rPr>
                <w:rFonts w:asciiTheme="minorHAnsi" w:eastAsiaTheme="minorEastAsia" w:hAnsiTheme="minorHAnsi" w:cstheme="minorHAnsi"/>
                <w:sz w:val="16"/>
                <w:szCs w:val="16"/>
              </w:rPr>
              <w:t xml:space="preserve"> elabore la resolución administrativa estableciendo los dos polígonos señalados. </w:t>
            </w:r>
            <w:r w:rsidRPr="00DE692F">
              <w:rPr>
                <w:rFonts w:asciiTheme="minorHAnsi" w:eastAsiaTheme="minorEastAsia" w:hAnsiTheme="minorHAnsi" w:cstheme="minorHAnsi"/>
                <w:sz w:val="16"/>
                <w:szCs w:val="16"/>
              </w:rPr>
              <w:t xml:space="preserve"> </w:t>
            </w:r>
            <w:r w:rsidR="007B4F57" w:rsidRPr="00DE692F">
              <w:rPr>
                <w:rFonts w:asciiTheme="minorHAnsi" w:eastAsiaTheme="minorEastAsia" w:hAnsiTheme="minorHAnsi" w:cstheme="minorHAnsi"/>
                <w:sz w:val="16"/>
                <w:szCs w:val="16"/>
              </w:rPr>
              <w:t>De acuerdo con</w:t>
            </w:r>
            <w:r w:rsidR="00E66726" w:rsidRPr="00DE692F">
              <w:rPr>
                <w:rFonts w:asciiTheme="minorHAnsi" w:eastAsiaTheme="minorEastAsia" w:hAnsiTheme="minorHAnsi" w:cstheme="minorHAnsi"/>
                <w:sz w:val="16"/>
                <w:szCs w:val="16"/>
              </w:rPr>
              <w:t xml:space="preserve"> la propuesta de medición de avances se tiene un avance del 15% en este indicador. </w:t>
            </w:r>
          </w:p>
          <w:p w14:paraId="216DDD7D" w14:textId="6F326DF2"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Se ha considerado tener casuística que nos pueda dar insumos para el análisis regulatorio planteado en el POA 2025.</w:t>
            </w:r>
          </w:p>
        </w:tc>
      </w:tr>
      <w:tr w:rsidR="00D634ED" w:rsidRPr="00DE692F" w14:paraId="71E056F0" w14:textId="77777777" w:rsidTr="005B7DD9">
        <w:trPr>
          <w:trHeight w:val="1190"/>
        </w:trPr>
        <w:tc>
          <w:tcPr>
            <w:tcW w:w="1702" w:type="dxa"/>
            <w:tcBorders>
              <w:bottom w:val="single" w:sz="4" w:space="0" w:color="auto"/>
            </w:tcBorders>
            <w:shd w:val="clear" w:color="auto" w:fill="D0CECE" w:themeFill="background2" w:themeFillShade="E6"/>
            <w:vAlign w:val="center"/>
          </w:tcPr>
          <w:p w14:paraId="630DBAF3" w14:textId="272459FE"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1.2.2</w:t>
            </w:r>
          </w:p>
        </w:tc>
        <w:tc>
          <w:tcPr>
            <w:tcW w:w="2400" w:type="dxa"/>
            <w:tcBorders>
              <w:bottom w:val="single" w:sz="4" w:space="0" w:color="auto"/>
            </w:tcBorders>
            <w:shd w:val="clear" w:color="auto" w:fill="D0CECE" w:themeFill="background2" w:themeFillShade="E6"/>
            <w:vAlign w:val="center"/>
          </w:tcPr>
          <w:p w14:paraId="20C9D54B"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7A086FFD"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30BD43A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67D8681A"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741EADD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58012A96"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FCBAFF5"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042A2053"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5F26CD38"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6E9BB89B"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705F549"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6A9FEFC5"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14BE5B3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5BF2AF8" w14:textId="0A96B84B" w:rsidR="00D634ED" w:rsidRPr="00DE692F" w:rsidRDefault="00D634ED" w:rsidP="00D634E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A84ACD" w:rsidRPr="00DE692F" w14:paraId="2DD188EE" w14:textId="77777777" w:rsidTr="005B7DD9">
        <w:trPr>
          <w:trHeight w:val="688"/>
        </w:trPr>
        <w:tc>
          <w:tcPr>
            <w:tcW w:w="1702" w:type="dxa"/>
            <w:vAlign w:val="center"/>
          </w:tcPr>
          <w:p w14:paraId="46743624" w14:textId="136FD3D6" w:rsidR="00A84ACD" w:rsidRPr="00DE692F" w:rsidRDefault="00A84ACD" w:rsidP="00A84ACD">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Acuerdos voluntarios de conservación (ACV) establecidos entre actores públicos y privados, vinculados al trabajo que realizan los gobiernos regionales y locales en áreas con BAVC. Estos acuerdos incluyen incentivos financieros para la recuperación, restauración y conectividad, con un enfoque de género e intercultural</w:t>
            </w:r>
          </w:p>
        </w:tc>
        <w:tc>
          <w:tcPr>
            <w:tcW w:w="2400" w:type="dxa"/>
            <w:vAlign w:val="center"/>
          </w:tcPr>
          <w:p w14:paraId="734DCDC7" w14:textId="42F2085B" w:rsidR="00A84ACD" w:rsidRPr="00DE692F" w:rsidRDefault="0030549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0ADC4F2C" w14:textId="64CD0BC0"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40D5F279" w14:textId="117F9498" w:rsidR="00A84ACD" w:rsidRPr="00DE692F" w:rsidRDefault="00E26052"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6AC3DB3B" w14:textId="60E96BC2"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76BE4703" w14:textId="173B3EDB" w:rsidR="00A84ACD" w:rsidRPr="00DE692F" w:rsidRDefault="0030549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7CB74375" w14:textId="47624E65"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1DA3EBFF" w14:textId="6E959046"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34A15F4B" w14:textId="5328C905" w:rsidR="00A84ACD" w:rsidRPr="00DE692F" w:rsidRDefault="00DE692F"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1</w:t>
            </w:r>
            <w:r w:rsidR="00A84ACD" w:rsidRPr="00DE692F">
              <w:rPr>
                <w:rFonts w:asciiTheme="minorHAnsi" w:eastAsiaTheme="minorEastAsia" w:hAnsiTheme="minorHAnsi" w:cstheme="minorHAnsi"/>
                <w:sz w:val="16"/>
                <w:szCs w:val="16"/>
              </w:rPr>
              <w:t>%</w:t>
            </w:r>
            <w:r w:rsidR="0030549F" w:rsidRPr="00DE692F">
              <w:rPr>
                <w:rStyle w:val="Refdenotaalpie"/>
                <w:rFonts w:eastAsiaTheme="minorEastAsia" w:cstheme="minorHAnsi"/>
                <w:b/>
                <w:bCs/>
                <w:szCs w:val="16"/>
              </w:rPr>
              <w:footnoteReference w:id="16"/>
            </w:r>
          </w:p>
        </w:tc>
      </w:tr>
      <w:tr w:rsidR="00D634ED" w:rsidRPr="00DE692F" w14:paraId="4D960D2F" w14:textId="77777777" w:rsidTr="005B7DD9">
        <w:trPr>
          <w:trHeight w:val="176"/>
        </w:trPr>
        <w:tc>
          <w:tcPr>
            <w:tcW w:w="11482" w:type="dxa"/>
            <w:gridSpan w:val="9"/>
            <w:shd w:val="clear" w:color="auto" w:fill="D0CECE" w:themeFill="background2" w:themeFillShade="E6"/>
            <w:vAlign w:val="center"/>
          </w:tcPr>
          <w:p w14:paraId="5A7ECD47" w14:textId="77777777" w:rsidR="00D634ED" w:rsidRPr="00DE692F" w:rsidRDefault="00D634ED" w:rsidP="00D634ED">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D634ED" w:rsidRPr="00DE692F" w14:paraId="4309E9CC" w14:textId="77777777" w:rsidTr="005B7DD9">
        <w:trPr>
          <w:trHeight w:val="294"/>
        </w:trPr>
        <w:tc>
          <w:tcPr>
            <w:tcW w:w="1702" w:type="dxa"/>
            <w:vAlign w:val="center"/>
          </w:tcPr>
          <w:p w14:paraId="1084AF99" w14:textId="36070416"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1.2.2.1</w:t>
            </w:r>
          </w:p>
        </w:tc>
        <w:tc>
          <w:tcPr>
            <w:tcW w:w="9780" w:type="dxa"/>
            <w:gridSpan w:val="8"/>
            <w:vAlign w:val="center"/>
          </w:tcPr>
          <w:p w14:paraId="4D514D29" w14:textId="5CEE403D" w:rsidR="00D634ED" w:rsidRPr="00DE692F" w:rsidRDefault="00E167E7"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Validar diseño de modelos de AC individuales y/o colectivos voluntarios entre los diferentes actores, con enfoque de género e interculturalidad</w:t>
            </w:r>
          </w:p>
        </w:tc>
      </w:tr>
      <w:tr w:rsidR="00D634ED" w:rsidRPr="00DE692F" w14:paraId="096BACA3" w14:textId="77777777" w:rsidTr="005B7DD9">
        <w:trPr>
          <w:trHeight w:val="256"/>
        </w:trPr>
        <w:tc>
          <w:tcPr>
            <w:tcW w:w="1702" w:type="dxa"/>
            <w:vAlign w:val="center"/>
          </w:tcPr>
          <w:p w14:paraId="6E5B1105" w14:textId="68916DFC"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1.2.2.2</w:t>
            </w:r>
          </w:p>
        </w:tc>
        <w:tc>
          <w:tcPr>
            <w:tcW w:w="9780" w:type="dxa"/>
            <w:gridSpan w:val="8"/>
            <w:vAlign w:val="center"/>
          </w:tcPr>
          <w:p w14:paraId="36A8EBD2" w14:textId="46458F87" w:rsidR="00D634ED" w:rsidRPr="00DE692F" w:rsidRDefault="00E167E7"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Firma de AC con actores claves en los paisajes </w:t>
            </w:r>
            <w:r w:rsidR="001B3CCC" w:rsidRPr="00DE692F">
              <w:rPr>
                <w:rFonts w:asciiTheme="minorHAnsi" w:eastAsiaTheme="minorEastAsia" w:hAnsiTheme="minorHAnsi" w:cstheme="minorHAnsi"/>
                <w:sz w:val="16"/>
                <w:szCs w:val="16"/>
              </w:rPr>
              <w:t>identificados</w:t>
            </w:r>
          </w:p>
        </w:tc>
      </w:tr>
      <w:tr w:rsidR="00A84ACD" w:rsidRPr="00DE692F" w14:paraId="4F00D760" w14:textId="77777777" w:rsidTr="005B7DD9">
        <w:trPr>
          <w:trHeight w:val="688"/>
        </w:trPr>
        <w:tc>
          <w:tcPr>
            <w:tcW w:w="4962" w:type="dxa"/>
            <w:gridSpan w:val="3"/>
            <w:tcBorders>
              <w:bottom w:val="single" w:sz="4" w:space="0" w:color="auto"/>
            </w:tcBorders>
            <w:vAlign w:val="center"/>
          </w:tcPr>
          <w:p w14:paraId="715193DB" w14:textId="77777777" w:rsidR="00E66726"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El presente año, se ha iniciado la exploración sobre potenciales acuerdos de conservación que contribuyan a la libre deforestación teniéndose en el paisaje Tabaconas Chinchipe un modelo de acuerdo entre el Santuario Nacional Tabaconas Namballe y la cooperativa cafetalera APROCASI, por lo que se ha considerado realizar el diseño y un análisis de actores para su participación</w:t>
            </w:r>
            <w:r w:rsidR="00E66726" w:rsidRPr="00DE692F">
              <w:rPr>
                <w:rFonts w:asciiTheme="minorHAnsi" w:hAnsiTheme="minorHAnsi" w:cstheme="minorHAnsi"/>
                <w:sz w:val="16"/>
                <w:szCs w:val="16"/>
              </w:rPr>
              <w:t xml:space="preserve">. </w:t>
            </w:r>
          </w:p>
          <w:p w14:paraId="24ED1F3F" w14:textId="77777777" w:rsidR="00E66726" w:rsidRPr="00DE692F" w:rsidRDefault="00E66726" w:rsidP="00A84ACD">
            <w:pPr>
              <w:tabs>
                <w:tab w:val="left" w:pos="4680"/>
              </w:tabs>
              <w:rPr>
                <w:rFonts w:asciiTheme="minorHAnsi" w:hAnsiTheme="minorHAnsi" w:cstheme="minorHAnsi"/>
                <w:sz w:val="16"/>
                <w:szCs w:val="16"/>
              </w:rPr>
            </w:pPr>
          </w:p>
          <w:p w14:paraId="6471CE80" w14:textId="71E4274F" w:rsidR="00A84ACD" w:rsidRPr="00DE692F" w:rsidRDefault="00E66726"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Asimismo, se han elaborado los TdR para una consultoría que realizase </w:t>
            </w:r>
            <w:r w:rsidR="006B749F" w:rsidRPr="00DE692F">
              <w:rPr>
                <w:rFonts w:asciiTheme="minorHAnsi" w:hAnsiTheme="minorHAnsi" w:cstheme="minorHAnsi"/>
                <w:sz w:val="16"/>
                <w:szCs w:val="16"/>
              </w:rPr>
              <w:t xml:space="preserve">un </w:t>
            </w:r>
            <w:r w:rsidR="006B749F" w:rsidRPr="00DE692F">
              <w:rPr>
                <w:rFonts w:ascii="Calibri" w:hAnsi="Calibri" w:cs="Calibri"/>
                <w:color w:val="000000"/>
                <w:sz w:val="16"/>
                <w:szCs w:val="16"/>
              </w:rPr>
              <w:t>Servicio para diseñar modelos innovadores de acuerdos de conservación entre instituciones públicas y privadas vinculados al trabajo que realizan los gobiernos regionales y locales.</w:t>
            </w:r>
          </w:p>
        </w:tc>
        <w:tc>
          <w:tcPr>
            <w:tcW w:w="6520" w:type="dxa"/>
            <w:gridSpan w:val="6"/>
            <w:tcBorders>
              <w:bottom w:val="single" w:sz="4" w:space="0" w:color="auto"/>
            </w:tcBorders>
            <w:vAlign w:val="center"/>
          </w:tcPr>
          <w:p w14:paraId="0E624B4B" w14:textId="680EA763" w:rsidR="00E66726" w:rsidRPr="00DE692F" w:rsidRDefault="00DE692F" w:rsidP="00A84ACD">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sz w:val="16"/>
                <w:szCs w:val="16"/>
              </w:rPr>
              <w:t xml:space="preserve">Se considera que la identificación de la </w:t>
            </w:r>
            <w:r w:rsidR="005E10BA" w:rsidRPr="00DE692F">
              <w:rPr>
                <w:rFonts w:asciiTheme="minorHAnsi" w:eastAsiaTheme="minorEastAsia" w:hAnsiTheme="minorHAnsi" w:cstheme="minorHAnsi"/>
                <w:sz w:val="16"/>
                <w:szCs w:val="16"/>
              </w:rPr>
              <w:t>casuística</w:t>
            </w:r>
            <w:r w:rsidRPr="00DE692F">
              <w:rPr>
                <w:rFonts w:asciiTheme="minorHAnsi" w:eastAsiaTheme="minorEastAsia" w:hAnsiTheme="minorHAnsi" w:cstheme="minorHAnsi"/>
                <w:sz w:val="16"/>
                <w:szCs w:val="16"/>
              </w:rPr>
              <w:t xml:space="preserve"> y los TdR equivalen al 1% de avance correspondiente a la etapa de evaluación y modelos.</w:t>
            </w:r>
            <w:r w:rsidRPr="00DE692F">
              <w:rPr>
                <w:rFonts w:asciiTheme="minorHAnsi" w:eastAsiaTheme="minorEastAsia" w:hAnsiTheme="minorHAnsi" w:cstheme="minorHAnsi"/>
                <w:b/>
                <w:bCs/>
                <w:sz w:val="16"/>
                <w:szCs w:val="16"/>
              </w:rPr>
              <w:t xml:space="preserve"> </w:t>
            </w:r>
          </w:p>
          <w:p w14:paraId="7D0BF69D" w14:textId="6912CEFB" w:rsidR="00A84ACD" w:rsidRPr="00DE692F"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Los acuerdos de conservación son procesos que se construirá conforme se vaya ejecutando el proyecto, ya que requiere encontrar interese comunes y confianza entre los actores del territorio, de forma de contribuir a su gobernanza para la libre deforestación</w:t>
            </w:r>
          </w:p>
        </w:tc>
      </w:tr>
      <w:tr w:rsidR="00D634ED" w:rsidRPr="00DE692F" w14:paraId="61C3701F" w14:textId="77777777" w:rsidTr="005B7DD9">
        <w:trPr>
          <w:trHeight w:val="1190"/>
        </w:trPr>
        <w:tc>
          <w:tcPr>
            <w:tcW w:w="1702" w:type="dxa"/>
            <w:tcBorders>
              <w:bottom w:val="single" w:sz="4" w:space="0" w:color="auto"/>
            </w:tcBorders>
            <w:shd w:val="clear" w:color="auto" w:fill="D0CECE" w:themeFill="background2" w:themeFillShade="E6"/>
            <w:vAlign w:val="center"/>
          </w:tcPr>
          <w:p w14:paraId="6E535EE8" w14:textId="4799BAAB"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lastRenderedPageBreak/>
              <w:t>Producto 1.2.3</w:t>
            </w:r>
          </w:p>
        </w:tc>
        <w:tc>
          <w:tcPr>
            <w:tcW w:w="2400" w:type="dxa"/>
            <w:tcBorders>
              <w:bottom w:val="single" w:sz="4" w:space="0" w:color="auto"/>
            </w:tcBorders>
            <w:shd w:val="clear" w:color="auto" w:fill="D0CECE" w:themeFill="background2" w:themeFillShade="E6"/>
            <w:vAlign w:val="center"/>
          </w:tcPr>
          <w:p w14:paraId="0F6CCCBE"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BF73C36"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36CDBD6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DE7234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774244D8"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445806A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00536ED"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318E349"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4CD44269"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06048426"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64E5CA6"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37454B0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785B6B8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63A3300" w14:textId="7175A316" w:rsidR="00D634ED" w:rsidRPr="00DE692F" w:rsidRDefault="00D634ED" w:rsidP="00D634E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A84ACD" w:rsidRPr="00DE692F" w14:paraId="5B915579" w14:textId="77777777" w:rsidTr="005B7DD9">
        <w:trPr>
          <w:trHeight w:val="688"/>
        </w:trPr>
        <w:tc>
          <w:tcPr>
            <w:tcW w:w="1702" w:type="dxa"/>
            <w:vAlign w:val="center"/>
          </w:tcPr>
          <w:p w14:paraId="21B14F66" w14:textId="5C81049E" w:rsidR="00A84ACD" w:rsidRPr="00DE692F" w:rsidRDefault="00A84ACD" w:rsidP="00A84ACD">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Gobiernos regionales y locales, junto con el sector privado, fortalecidos en capacidades de monitoreo y evaluación (M&amp;E), incluyendo la elaboración y difusión de informes sobre el cumplimiento de la normativa y los avances en la reducción de la deforestación relacionada con la producción de commodities fuera de las ANP. Esto incluye el fortalecimiento de las unidades de monitoreo satelital o las unidades de gestión forestal y de vida silvestre, incorporando criterios de género e interculturalidad</w:t>
            </w:r>
          </w:p>
        </w:tc>
        <w:tc>
          <w:tcPr>
            <w:tcW w:w="2400" w:type="dxa"/>
            <w:vAlign w:val="center"/>
          </w:tcPr>
          <w:p w14:paraId="2A3FB261" w14:textId="10CE2382" w:rsidR="00A84ACD" w:rsidRPr="00DE692F" w:rsidRDefault="0030549F"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68AB0129" w14:textId="1D558A33"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03587E81" w14:textId="163111D8" w:rsidR="00A84ACD" w:rsidRPr="00DE692F" w:rsidRDefault="00E26052"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74F9D0F5" w14:textId="7A273CA8"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2ED24CC1" w14:textId="4F34F164"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147" w:type="dxa"/>
            <w:vAlign w:val="center"/>
          </w:tcPr>
          <w:p w14:paraId="54D7446E" w14:textId="3DAA434B"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61691244" w14:textId="233D3E33" w:rsidR="00A84ACD" w:rsidRPr="00DE692F" w:rsidRDefault="00A84ACD" w:rsidP="00A84AC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16EEA089" w14:textId="48FE666D" w:rsidR="00A84ACD" w:rsidRPr="00DE692F" w:rsidRDefault="006A078C" w:rsidP="00A84AC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5</w:t>
            </w:r>
            <w:r w:rsidR="00A84ACD" w:rsidRPr="00DE692F">
              <w:rPr>
                <w:rFonts w:asciiTheme="minorHAnsi" w:eastAsiaTheme="minorEastAsia" w:hAnsiTheme="minorHAnsi" w:cstheme="minorHAnsi"/>
                <w:sz w:val="16"/>
                <w:szCs w:val="16"/>
              </w:rPr>
              <w:t>%</w:t>
            </w:r>
            <w:r w:rsidR="0030549F">
              <w:rPr>
                <w:rStyle w:val="Refdenotaalpie"/>
                <w:rFonts w:eastAsiaTheme="minorEastAsia" w:cstheme="minorHAnsi"/>
                <w:b/>
                <w:bCs/>
                <w:szCs w:val="16"/>
              </w:rPr>
              <w:footnoteReference w:id="17"/>
            </w:r>
          </w:p>
        </w:tc>
      </w:tr>
      <w:tr w:rsidR="00D634ED" w:rsidRPr="00DE692F" w14:paraId="2F25DAC2" w14:textId="77777777" w:rsidTr="005B7DD9">
        <w:trPr>
          <w:trHeight w:val="176"/>
        </w:trPr>
        <w:tc>
          <w:tcPr>
            <w:tcW w:w="11482" w:type="dxa"/>
            <w:gridSpan w:val="9"/>
            <w:shd w:val="clear" w:color="auto" w:fill="D0CECE" w:themeFill="background2" w:themeFillShade="E6"/>
            <w:vAlign w:val="center"/>
          </w:tcPr>
          <w:p w14:paraId="7188FB84" w14:textId="77777777" w:rsidR="00D634ED" w:rsidRPr="00DE692F" w:rsidRDefault="00D634ED" w:rsidP="00D634ED">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D634ED" w:rsidRPr="00DE692F" w14:paraId="1EFF9289" w14:textId="77777777" w:rsidTr="005B7DD9">
        <w:trPr>
          <w:trHeight w:val="294"/>
        </w:trPr>
        <w:tc>
          <w:tcPr>
            <w:tcW w:w="1702" w:type="dxa"/>
            <w:vAlign w:val="center"/>
          </w:tcPr>
          <w:p w14:paraId="5A461C37" w14:textId="589662FD"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1.2.3.1</w:t>
            </w:r>
          </w:p>
        </w:tc>
        <w:tc>
          <w:tcPr>
            <w:tcW w:w="9780" w:type="dxa"/>
            <w:gridSpan w:val="8"/>
            <w:vAlign w:val="center"/>
          </w:tcPr>
          <w:p w14:paraId="4EB55EB8" w14:textId="747354F4" w:rsidR="00D634ED" w:rsidRPr="00DE692F" w:rsidRDefault="00E167E7" w:rsidP="00D634E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un módulo de M&amp;E orientado a de fortalecer las capacidades a los GOREs, GOLOs priorizados y sector privado (empresas, productores, comunidades) para reportar sobre el cumplimiento de la normativa de uso de la tierra y deforestación</w:t>
            </w:r>
          </w:p>
        </w:tc>
      </w:tr>
      <w:tr w:rsidR="00A84ACD" w:rsidRPr="00DE692F" w14:paraId="100E432D" w14:textId="77777777" w:rsidTr="005B7DD9">
        <w:trPr>
          <w:trHeight w:val="688"/>
        </w:trPr>
        <w:tc>
          <w:tcPr>
            <w:tcW w:w="4962" w:type="dxa"/>
            <w:gridSpan w:val="3"/>
            <w:tcBorders>
              <w:bottom w:val="single" w:sz="4" w:space="0" w:color="auto"/>
            </w:tcBorders>
            <w:vAlign w:val="center"/>
          </w:tcPr>
          <w:p w14:paraId="4EE7D565" w14:textId="77777777" w:rsidR="00A84ACD" w:rsidRPr="00DE692F" w:rsidRDefault="00A84ACD" w:rsidP="00A84ACD">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7F2B1133" w14:textId="7AFE80B0" w:rsidR="00A84ACD" w:rsidRDefault="00A84ACD" w:rsidP="00A84ACD">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En el presente resultado, se ha iniciado con el fortalecimiento de la ATFFS Cajamarca, quienes no cuentan con los equipos necesarios para realizar el monitoreo de la deforestación </w:t>
            </w:r>
            <w:r w:rsidR="007A51AF" w:rsidRPr="00DE692F">
              <w:rPr>
                <w:rFonts w:asciiTheme="minorHAnsi" w:hAnsiTheme="minorHAnsi" w:cstheme="minorHAnsi"/>
                <w:sz w:val="16"/>
                <w:szCs w:val="16"/>
              </w:rPr>
              <w:t>realizá</w:t>
            </w:r>
            <w:r w:rsidR="007A51AF">
              <w:rPr>
                <w:rFonts w:asciiTheme="minorHAnsi" w:hAnsiTheme="minorHAnsi" w:cstheme="minorHAnsi"/>
                <w:sz w:val="16"/>
                <w:szCs w:val="16"/>
              </w:rPr>
              <w:t>ndose</w:t>
            </w:r>
            <w:r w:rsidRPr="00DE692F">
              <w:rPr>
                <w:rFonts w:asciiTheme="minorHAnsi" w:hAnsiTheme="minorHAnsi" w:cstheme="minorHAnsi"/>
                <w:sz w:val="16"/>
                <w:szCs w:val="16"/>
              </w:rPr>
              <w:t xml:space="preserve"> la compra de un dron que permita poder ser utilizado para el monitoreo de los CCUSAF entre otros títulos habilitantes. </w:t>
            </w:r>
            <w:r w:rsidR="007A51AF">
              <w:rPr>
                <w:rFonts w:asciiTheme="minorHAnsi" w:hAnsiTheme="minorHAnsi" w:cstheme="minorHAnsi"/>
                <w:sz w:val="16"/>
                <w:szCs w:val="16"/>
              </w:rPr>
              <w:t xml:space="preserve">Se ha programado una capacitación para el primer trimestre del 2026. </w:t>
            </w:r>
          </w:p>
          <w:p w14:paraId="563DFA98" w14:textId="77777777" w:rsidR="007A51AF" w:rsidRDefault="007A51AF" w:rsidP="00A84ACD">
            <w:pPr>
              <w:tabs>
                <w:tab w:val="left" w:pos="4680"/>
              </w:tabs>
              <w:rPr>
                <w:rFonts w:asciiTheme="minorHAnsi" w:hAnsiTheme="minorHAnsi" w:cstheme="minorHAnsi"/>
                <w:sz w:val="16"/>
                <w:szCs w:val="16"/>
              </w:rPr>
            </w:pPr>
          </w:p>
          <w:p w14:paraId="0B8BDCEB" w14:textId="67EE62EF" w:rsidR="007A51AF" w:rsidRPr="00DE692F" w:rsidRDefault="007A51AF" w:rsidP="00A84ACD">
            <w:pPr>
              <w:tabs>
                <w:tab w:val="left" w:pos="4680"/>
              </w:tabs>
              <w:rPr>
                <w:rFonts w:asciiTheme="minorHAnsi" w:hAnsiTheme="minorHAnsi" w:cstheme="minorHAnsi"/>
                <w:sz w:val="16"/>
                <w:szCs w:val="16"/>
              </w:rPr>
            </w:pPr>
            <w:r>
              <w:rPr>
                <w:rFonts w:asciiTheme="minorHAnsi" w:hAnsiTheme="minorHAnsi" w:cstheme="minorHAnsi"/>
                <w:sz w:val="16"/>
                <w:szCs w:val="16"/>
              </w:rPr>
              <w:t>Por otro lado, se ha coordinado con las autoridades locales de la Provincia de San Ignacio y el Distrito de Tabaconas para el diseño de un  sistema de monitoreo orientado al control territorial y al monitoreo de la libre deforestación, en el caso de San Ignacio vinculado a la cuenca Quanda y Botijas donde se busca desarrollar una propuesta de MERESE ( componente 03) y en el caso de Tabaconas por las actividades que se vienen dando que atentan contra los bosques relictos y ponen en riesgo a las áreas protegidas.</w:t>
            </w:r>
          </w:p>
        </w:tc>
        <w:tc>
          <w:tcPr>
            <w:tcW w:w="6520" w:type="dxa"/>
            <w:gridSpan w:val="6"/>
            <w:tcBorders>
              <w:bottom w:val="single" w:sz="4" w:space="0" w:color="auto"/>
            </w:tcBorders>
            <w:vAlign w:val="center"/>
          </w:tcPr>
          <w:p w14:paraId="4449200D" w14:textId="77777777" w:rsidR="00A84ACD" w:rsidRPr="00563377" w:rsidRDefault="00DC0409" w:rsidP="00E732D9">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A la fecha del presente informe, los informes</w:t>
            </w:r>
            <w:r w:rsidR="00A84ACD" w:rsidRPr="00DE692F">
              <w:rPr>
                <w:rFonts w:asciiTheme="minorHAnsi" w:eastAsiaTheme="minorEastAsia" w:hAnsiTheme="minorHAnsi" w:cstheme="minorHAnsi"/>
                <w:sz w:val="16"/>
                <w:szCs w:val="16"/>
              </w:rPr>
              <w:t xml:space="preserve"> de seguimiento y monitoreo</w:t>
            </w:r>
            <w:r>
              <w:rPr>
                <w:rFonts w:asciiTheme="minorHAnsi" w:eastAsiaTheme="minorEastAsia" w:hAnsiTheme="minorHAnsi" w:cstheme="minorHAnsi"/>
                <w:sz w:val="16"/>
                <w:szCs w:val="16"/>
              </w:rPr>
              <w:t xml:space="preserve"> aún no han sido elaborados</w:t>
            </w:r>
            <w:r w:rsidR="00A84ACD" w:rsidRPr="00DE692F">
              <w:rPr>
                <w:rFonts w:asciiTheme="minorHAnsi" w:eastAsiaTheme="minorEastAsia" w:hAnsiTheme="minorHAnsi" w:cstheme="minorHAnsi"/>
                <w:sz w:val="16"/>
                <w:szCs w:val="16"/>
              </w:rPr>
              <w:t>, ya que estos requieren de actividades previas.</w:t>
            </w:r>
            <w:r w:rsidR="007A51AF">
              <w:rPr>
                <w:rFonts w:asciiTheme="minorHAnsi" w:eastAsiaTheme="minorEastAsia" w:hAnsiTheme="minorHAnsi" w:cstheme="minorHAnsi"/>
                <w:sz w:val="16"/>
                <w:szCs w:val="16"/>
              </w:rPr>
              <w:t xml:space="preserve"> </w:t>
            </w:r>
            <w:r w:rsidR="00E732D9">
              <w:rPr>
                <w:rFonts w:asciiTheme="minorHAnsi" w:eastAsiaTheme="minorEastAsia" w:hAnsiTheme="minorHAnsi" w:cstheme="minorHAnsi"/>
                <w:sz w:val="16"/>
                <w:szCs w:val="16"/>
              </w:rPr>
              <w:t xml:space="preserve">Puesto que estos informes </w:t>
            </w:r>
            <w:r w:rsidR="00A84ACD" w:rsidRPr="00DE692F">
              <w:rPr>
                <w:rFonts w:asciiTheme="minorHAnsi" w:hAnsiTheme="minorHAnsi" w:cstheme="minorHAnsi"/>
                <w:sz w:val="16"/>
                <w:szCs w:val="16"/>
              </w:rPr>
              <w:t xml:space="preserve">requieren de un diagnóstico de capacidades locales e </w:t>
            </w:r>
            <w:r w:rsidR="00E732D9">
              <w:rPr>
                <w:rFonts w:asciiTheme="minorHAnsi" w:hAnsiTheme="minorHAnsi" w:cstheme="minorHAnsi"/>
                <w:sz w:val="16"/>
                <w:szCs w:val="16"/>
              </w:rPr>
              <w:t>intereses</w:t>
            </w:r>
            <w:r w:rsidR="00A84ACD" w:rsidRPr="00DE692F">
              <w:rPr>
                <w:rFonts w:asciiTheme="minorHAnsi" w:hAnsiTheme="minorHAnsi" w:cstheme="minorHAnsi"/>
                <w:sz w:val="16"/>
                <w:szCs w:val="16"/>
              </w:rPr>
              <w:t>, lo que es parte de un proceso que se construirá conforme se vaya ejecutando el proyecto.</w:t>
            </w:r>
            <w:r w:rsidR="00E732D9">
              <w:rPr>
                <w:rFonts w:asciiTheme="minorHAnsi" w:eastAsiaTheme="minorEastAsia" w:hAnsiTheme="minorHAnsi" w:cstheme="minorHAnsi"/>
                <w:sz w:val="16"/>
                <w:szCs w:val="16"/>
              </w:rPr>
              <w:t xml:space="preserve"> Sin embargo, se </w:t>
            </w:r>
            <w:r w:rsidR="006A078C">
              <w:rPr>
                <w:rFonts w:asciiTheme="minorHAnsi" w:eastAsiaTheme="minorEastAsia" w:hAnsiTheme="minorHAnsi" w:cstheme="minorHAnsi"/>
                <w:sz w:val="16"/>
                <w:szCs w:val="16"/>
              </w:rPr>
              <w:t>ha iniciado con la generación de condiciones habilitantes, mediante el fortalecimiento de la</w:t>
            </w:r>
            <w:r w:rsidR="00E732D9">
              <w:rPr>
                <w:rFonts w:asciiTheme="minorHAnsi" w:eastAsiaTheme="minorEastAsia" w:hAnsiTheme="minorHAnsi" w:cstheme="minorHAnsi"/>
                <w:sz w:val="16"/>
                <w:szCs w:val="16"/>
              </w:rPr>
              <w:t xml:space="preserve"> ATFFS Cajamarca</w:t>
            </w:r>
            <w:r w:rsidR="006A078C">
              <w:rPr>
                <w:rFonts w:asciiTheme="minorHAnsi" w:eastAsiaTheme="minorEastAsia" w:hAnsiTheme="minorHAnsi" w:cstheme="minorHAnsi"/>
                <w:sz w:val="16"/>
                <w:szCs w:val="16"/>
              </w:rPr>
              <w:t xml:space="preserve">, la cual continuará y se </w:t>
            </w:r>
            <w:r w:rsidR="006A078C" w:rsidRPr="00563377">
              <w:rPr>
                <w:rFonts w:asciiTheme="minorHAnsi" w:eastAsiaTheme="minorEastAsia" w:hAnsiTheme="minorHAnsi" w:cstheme="minorHAnsi"/>
                <w:sz w:val="16"/>
                <w:szCs w:val="16"/>
              </w:rPr>
              <w:t>ampliará a otros actores el 2026</w:t>
            </w:r>
            <w:r w:rsidR="00E732D9" w:rsidRPr="00563377">
              <w:rPr>
                <w:rFonts w:asciiTheme="minorHAnsi" w:eastAsiaTheme="minorEastAsia" w:hAnsiTheme="minorHAnsi" w:cstheme="minorHAnsi"/>
                <w:sz w:val="16"/>
                <w:szCs w:val="16"/>
              </w:rPr>
              <w:t>.</w:t>
            </w:r>
          </w:p>
          <w:p w14:paraId="191A216A" w14:textId="77777777" w:rsidR="00EE4637" w:rsidRPr="00563377" w:rsidRDefault="00EE4637" w:rsidP="00E732D9">
            <w:pPr>
              <w:tabs>
                <w:tab w:val="left" w:pos="4680"/>
              </w:tabs>
              <w:rPr>
                <w:rFonts w:asciiTheme="minorHAnsi" w:eastAsiaTheme="minorEastAsia" w:hAnsiTheme="minorHAnsi" w:cstheme="minorHAnsi"/>
                <w:sz w:val="16"/>
                <w:szCs w:val="16"/>
              </w:rPr>
            </w:pPr>
          </w:p>
          <w:p w14:paraId="0FA6E0E4" w14:textId="438AA28B" w:rsidR="00EE4637" w:rsidRPr="00DE692F" w:rsidRDefault="00EE4637" w:rsidP="0030549F">
            <w:pPr>
              <w:spacing w:after="0"/>
              <w:rPr>
                <w:rFonts w:asciiTheme="minorHAnsi" w:hAnsiTheme="minorHAnsi" w:cstheme="minorHAnsi"/>
                <w:sz w:val="16"/>
                <w:szCs w:val="16"/>
              </w:rPr>
            </w:pPr>
            <w:r w:rsidRPr="00563377">
              <w:rPr>
                <w:rFonts w:asciiTheme="minorHAnsi" w:eastAsiaTheme="minorEastAsia" w:hAnsiTheme="minorHAnsi" w:cstheme="minorHAnsi"/>
                <w:sz w:val="16"/>
                <w:szCs w:val="16"/>
              </w:rPr>
              <w:t>El presente resultado, se plantea como parte del proceso de fortalecimiento de capacidades a las autoridades locales para el monitoreo de la deforestación y el control territorial e iniciará el 2026</w:t>
            </w:r>
            <w:r w:rsidR="0030549F" w:rsidRPr="00563377">
              <w:rPr>
                <w:rFonts w:asciiTheme="minorHAnsi" w:eastAsiaTheme="minorEastAsia" w:hAnsiTheme="minorHAnsi" w:cstheme="minorHAnsi"/>
                <w:sz w:val="16"/>
                <w:szCs w:val="16"/>
              </w:rPr>
              <w:t xml:space="preserve">, identificándose </w:t>
            </w:r>
            <w:r w:rsidRPr="00563377">
              <w:rPr>
                <w:rFonts w:asciiTheme="minorHAnsi" w:eastAsiaTheme="minorEastAsia" w:hAnsiTheme="minorHAnsi" w:cstheme="minorHAnsi"/>
                <w:sz w:val="16"/>
                <w:szCs w:val="16"/>
              </w:rPr>
              <w:t xml:space="preserve">en el paisaje Tabaconas Chinchipe, un piloto para el monitoreo de la deforestación y uso de suelo a fin de contribuir a la conectividad ecológica entre los diferentes niveles de ANP </w:t>
            </w:r>
            <w:r w:rsidR="00563377" w:rsidRPr="00563377">
              <w:rPr>
                <w:rFonts w:asciiTheme="minorHAnsi" w:eastAsiaTheme="minorEastAsia" w:hAnsiTheme="minorHAnsi" w:cstheme="minorHAnsi"/>
                <w:sz w:val="16"/>
                <w:szCs w:val="16"/>
              </w:rPr>
              <w:t xml:space="preserve">y </w:t>
            </w:r>
            <w:r w:rsidRPr="00563377">
              <w:rPr>
                <w:rFonts w:asciiTheme="minorHAnsi" w:eastAsiaTheme="minorEastAsia" w:hAnsiTheme="minorHAnsi" w:cstheme="minorHAnsi"/>
                <w:sz w:val="16"/>
                <w:szCs w:val="16"/>
              </w:rPr>
              <w:t>otras modalidades de conservación</w:t>
            </w:r>
            <w:r w:rsidRPr="00E44CD7">
              <w:rPr>
                <w:rFonts w:asciiTheme="minorHAnsi" w:eastAsiaTheme="minorEastAsia" w:hAnsiTheme="minorHAnsi" w:cstheme="minorHAnsi"/>
                <w:sz w:val="16"/>
                <w:szCs w:val="16"/>
              </w:rPr>
              <w:t xml:space="preserve"> con la participación de la autoridad </w:t>
            </w:r>
            <w:r w:rsidR="00563377">
              <w:rPr>
                <w:rFonts w:asciiTheme="minorHAnsi" w:eastAsiaTheme="minorEastAsia" w:hAnsiTheme="minorHAnsi" w:cstheme="minorHAnsi"/>
                <w:sz w:val="16"/>
                <w:szCs w:val="16"/>
              </w:rPr>
              <w:t>locales</w:t>
            </w:r>
            <w:r w:rsidRPr="00E44CD7">
              <w:rPr>
                <w:rFonts w:asciiTheme="minorHAnsi" w:eastAsiaTheme="minorEastAsia" w:hAnsiTheme="minorHAnsi" w:cstheme="minorHAnsi"/>
                <w:sz w:val="16"/>
                <w:szCs w:val="16"/>
              </w:rPr>
              <w:t>, empresas y cooperativas.</w:t>
            </w:r>
          </w:p>
        </w:tc>
      </w:tr>
      <w:tr w:rsidR="00D634ED" w:rsidRPr="00DE692F" w14:paraId="35E34264"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5114FB2A" w14:textId="307C7051" w:rsidR="00D634ED" w:rsidRPr="00DE692F" w:rsidRDefault="00D634ED" w:rsidP="00D634ED">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2:  </w:t>
            </w:r>
            <w:r w:rsidRPr="00DE692F">
              <w:rPr>
                <w:rFonts w:asciiTheme="minorHAnsi" w:eastAsiaTheme="minorEastAsia" w:hAnsiTheme="minorHAnsi" w:cstheme="minorHAnsi"/>
                <w:sz w:val="16"/>
                <w:szCs w:val="16"/>
              </w:rPr>
              <w:t>Promoción de commodities libres de deforestación y sostenibles y cadenas de valor responsables</w:t>
            </w:r>
          </w:p>
          <w:p w14:paraId="2CF45EBD" w14:textId="4B3C4AC3" w:rsidR="00D634ED" w:rsidRPr="00DE692F" w:rsidRDefault="00D634ED" w:rsidP="00D634ED">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3:  </w:t>
            </w:r>
            <w:r w:rsidRPr="00DE692F">
              <w:rPr>
                <w:rFonts w:asciiTheme="minorHAnsi" w:eastAsiaTheme="minorEastAsia" w:hAnsiTheme="minorHAnsi" w:cstheme="minorHAnsi"/>
                <w:sz w:val="16"/>
                <w:szCs w:val="16"/>
              </w:rPr>
              <w:t>La participación del sector privado y las cadenas de valor responsables aumentan la producción sostenible de commodities, respaldada por una mayor capacidad técnica y financiera de los pequeños y medianos propietarios, con enfoque de género e interculturalidad.</w:t>
            </w:r>
          </w:p>
        </w:tc>
      </w:tr>
      <w:tr w:rsidR="00D634ED" w:rsidRPr="00DE692F" w14:paraId="68DD2519" w14:textId="77777777" w:rsidTr="005B7DD9">
        <w:trPr>
          <w:trHeight w:val="1190"/>
        </w:trPr>
        <w:tc>
          <w:tcPr>
            <w:tcW w:w="1702" w:type="dxa"/>
            <w:tcBorders>
              <w:bottom w:val="single" w:sz="4" w:space="0" w:color="auto"/>
            </w:tcBorders>
            <w:shd w:val="clear" w:color="auto" w:fill="D0CECE" w:themeFill="background2" w:themeFillShade="E6"/>
            <w:vAlign w:val="center"/>
          </w:tcPr>
          <w:p w14:paraId="0E33DF9B" w14:textId="015BBCAC" w:rsidR="00D634ED" w:rsidRPr="00DE692F" w:rsidRDefault="00D634ED" w:rsidP="00D634E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lastRenderedPageBreak/>
              <w:t>Producto 2.1.1</w:t>
            </w:r>
          </w:p>
        </w:tc>
        <w:tc>
          <w:tcPr>
            <w:tcW w:w="2400" w:type="dxa"/>
            <w:tcBorders>
              <w:bottom w:val="single" w:sz="4" w:space="0" w:color="auto"/>
            </w:tcBorders>
            <w:shd w:val="clear" w:color="auto" w:fill="D0CECE" w:themeFill="background2" w:themeFillShade="E6"/>
            <w:vAlign w:val="center"/>
          </w:tcPr>
          <w:p w14:paraId="7715F10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FCBC04E" w14:textId="36E00BEC" w:rsidR="00D634ED" w:rsidRPr="00DE692F" w:rsidRDefault="0074147E"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D634ED"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669D3D6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94AC801"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04E7B1CC"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479C940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5CE6F3B5"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3203E9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270D3C62"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1D2512B"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3C80C918"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33AF7BD4"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E2E533F" w14:textId="77777777" w:rsidR="00D634ED" w:rsidRPr="00DE692F" w:rsidRDefault="00D634ED" w:rsidP="00D634E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023C92EC" w14:textId="77777777" w:rsidR="00D634ED" w:rsidRPr="00DE692F" w:rsidRDefault="00D634ED" w:rsidP="00D634E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547DBD" w:rsidRPr="00DE692F" w14:paraId="76BCE5F7" w14:textId="77777777" w:rsidTr="005B7DD9">
        <w:trPr>
          <w:trHeight w:val="688"/>
        </w:trPr>
        <w:tc>
          <w:tcPr>
            <w:tcW w:w="1702" w:type="dxa"/>
            <w:vAlign w:val="center"/>
          </w:tcPr>
          <w:p w14:paraId="06E52739" w14:textId="7BED82BF" w:rsidR="00547DBD" w:rsidRPr="00DE692F" w:rsidRDefault="00547DBD" w:rsidP="00547DBD">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Planes elaborados para implementar paquetes tecnológicos innovadores libres de deforestación, apoyados por tecnología, agricultura climáticamente inteligente (ACI), manejo forestal sostenible (MFS) y agroforestería. Estos planes tienen como objetivo promover oportunidades de inversión y el abastecimiento de commodities libres de deforestación para compradores privados nacionales e internacionales</w:t>
            </w:r>
          </w:p>
        </w:tc>
        <w:tc>
          <w:tcPr>
            <w:tcW w:w="2400" w:type="dxa"/>
            <w:vAlign w:val="center"/>
          </w:tcPr>
          <w:p w14:paraId="201E78D8" w14:textId="4F748D89" w:rsidR="00547DBD" w:rsidRPr="00DE692F" w:rsidRDefault="00AD68D6" w:rsidP="00547DB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4C0EC6B7" w14:textId="464CC096" w:rsidR="00547DBD" w:rsidRPr="00DE692F" w:rsidRDefault="00547DBD" w:rsidP="00547DB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6DEA48EC" w14:textId="03C45214" w:rsidR="00547DBD" w:rsidRPr="00DE692F" w:rsidRDefault="00E26052" w:rsidP="00547DB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4FFC7BE5" w14:textId="74A02649" w:rsidR="00547DBD" w:rsidRPr="00DE692F" w:rsidRDefault="00547DBD" w:rsidP="00547DB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2429EB44" w14:textId="46A73F18" w:rsidR="00547DBD" w:rsidRPr="00DE692F" w:rsidRDefault="00AD68D6" w:rsidP="00547DB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773358D5" w14:textId="3EE9B522" w:rsidR="00547DBD" w:rsidRPr="00DE692F" w:rsidRDefault="00547DBD" w:rsidP="00547DB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07E3C803" w14:textId="4D4AE277" w:rsidR="00547DBD" w:rsidRPr="00DE692F" w:rsidRDefault="00547DBD" w:rsidP="00547DBD">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r w:rsidR="00A44897" w:rsidRPr="00DE692F">
              <w:rPr>
                <w:rFonts w:asciiTheme="minorHAnsi" w:eastAsiaTheme="minorEastAsia" w:hAnsiTheme="minorHAnsi" w:cstheme="minorHAnsi"/>
                <w:sz w:val="16"/>
                <w:szCs w:val="16"/>
              </w:rPr>
              <w:t>%</w:t>
            </w:r>
          </w:p>
        </w:tc>
        <w:tc>
          <w:tcPr>
            <w:tcW w:w="1275" w:type="dxa"/>
            <w:vAlign w:val="center"/>
          </w:tcPr>
          <w:p w14:paraId="487CCC78" w14:textId="7F335E32" w:rsidR="00547DBD" w:rsidRPr="00DE692F" w:rsidRDefault="00417844" w:rsidP="00547DBD">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15</w:t>
            </w:r>
            <w:r w:rsidR="00411896">
              <w:rPr>
                <w:rStyle w:val="Refdenotaalpie"/>
                <w:rFonts w:eastAsiaTheme="minorEastAsia" w:cstheme="minorHAnsi"/>
                <w:szCs w:val="16"/>
              </w:rPr>
              <w:footnoteReference w:id="18"/>
            </w:r>
          </w:p>
        </w:tc>
      </w:tr>
      <w:tr w:rsidR="00547DBD" w:rsidRPr="00DE692F" w14:paraId="7328C6D4" w14:textId="77777777" w:rsidTr="005B7DD9">
        <w:trPr>
          <w:trHeight w:val="176"/>
        </w:trPr>
        <w:tc>
          <w:tcPr>
            <w:tcW w:w="11482" w:type="dxa"/>
            <w:gridSpan w:val="9"/>
            <w:shd w:val="clear" w:color="auto" w:fill="D0CECE" w:themeFill="background2" w:themeFillShade="E6"/>
            <w:vAlign w:val="center"/>
          </w:tcPr>
          <w:p w14:paraId="47CF34C8" w14:textId="77777777" w:rsidR="00547DBD" w:rsidRPr="00DE692F" w:rsidRDefault="00547DBD" w:rsidP="00547DBD">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547DBD" w:rsidRPr="00DE692F" w14:paraId="1235505D" w14:textId="77777777" w:rsidTr="005B7DD9">
        <w:trPr>
          <w:trHeight w:val="294"/>
        </w:trPr>
        <w:tc>
          <w:tcPr>
            <w:tcW w:w="1702" w:type="dxa"/>
            <w:vAlign w:val="center"/>
          </w:tcPr>
          <w:p w14:paraId="7E609B9D" w14:textId="2EF0A452" w:rsidR="00547DBD" w:rsidRPr="00DE692F" w:rsidRDefault="00547DBD" w:rsidP="00547DB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2.1.1.1</w:t>
            </w:r>
          </w:p>
        </w:tc>
        <w:tc>
          <w:tcPr>
            <w:tcW w:w="9780" w:type="dxa"/>
            <w:gridSpan w:val="8"/>
            <w:vAlign w:val="center"/>
          </w:tcPr>
          <w:p w14:paraId="5B3EC5C0" w14:textId="7742546D" w:rsidR="00547DBD" w:rsidRPr="00DE692F" w:rsidRDefault="00547DBD" w:rsidP="00547DB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paquetes de tecnología (modelos CLD) a nivel individual, comunitario y de asociación, incluyendo modelos CLD integrados, agricultura climáticamente inteligente (ACI) resiliente, GFS y agrosilvicultura (una para cada producto)</w:t>
            </w:r>
          </w:p>
        </w:tc>
      </w:tr>
      <w:tr w:rsidR="00547DBD" w:rsidRPr="00DE692F" w14:paraId="5606FC85" w14:textId="77777777" w:rsidTr="005B7DD9">
        <w:trPr>
          <w:trHeight w:val="256"/>
        </w:trPr>
        <w:tc>
          <w:tcPr>
            <w:tcW w:w="1702" w:type="dxa"/>
            <w:vAlign w:val="center"/>
          </w:tcPr>
          <w:p w14:paraId="2258ABB2" w14:textId="0CEAFF45" w:rsidR="00547DBD" w:rsidRPr="00DE692F" w:rsidRDefault="00547DBD" w:rsidP="00547DB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2.1.1.2</w:t>
            </w:r>
          </w:p>
        </w:tc>
        <w:tc>
          <w:tcPr>
            <w:tcW w:w="9780" w:type="dxa"/>
            <w:gridSpan w:val="8"/>
            <w:vAlign w:val="center"/>
          </w:tcPr>
          <w:p w14:paraId="3EBF9013" w14:textId="2C88F91D" w:rsidR="00547DBD" w:rsidRPr="00DE692F" w:rsidRDefault="00547DBD" w:rsidP="00547DBD">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Socialización de paquetes tecnológicos (modelos CLD) a nivel individual, comunitario y de asociación, incluyendo modelos CLD integrados, agricultura climáticamente inteligente (ACI) resiliente, GFS y agrosilvicultura (una para cada producto)</w:t>
            </w:r>
          </w:p>
        </w:tc>
      </w:tr>
      <w:tr w:rsidR="00547DBD" w:rsidRPr="00DE692F" w14:paraId="31B85FFB" w14:textId="77777777" w:rsidTr="005B7DD9">
        <w:trPr>
          <w:trHeight w:val="688"/>
        </w:trPr>
        <w:tc>
          <w:tcPr>
            <w:tcW w:w="4962" w:type="dxa"/>
            <w:gridSpan w:val="3"/>
            <w:tcBorders>
              <w:bottom w:val="single" w:sz="4" w:space="0" w:color="auto"/>
            </w:tcBorders>
            <w:vAlign w:val="center"/>
          </w:tcPr>
          <w:p w14:paraId="1B7579D8" w14:textId="07F5B753" w:rsidR="004674C1" w:rsidRDefault="004674C1" w:rsidP="00547DBD">
            <w:pPr>
              <w:tabs>
                <w:tab w:val="left" w:pos="4680"/>
              </w:tabs>
              <w:rPr>
                <w:rFonts w:asciiTheme="minorHAnsi" w:hAnsiTheme="minorHAnsi" w:cstheme="minorHAnsi"/>
                <w:sz w:val="16"/>
                <w:szCs w:val="16"/>
              </w:rPr>
            </w:pPr>
            <w:r>
              <w:rPr>
                <w:rFonts w:asciiTheme="minorHAnsi" w:hAnsiTheme="minorHAnsi" w:cstheme="minorHAnsi"/>
                <w:sz w:val="16"/>
                <w:szCs w:val="16"/>
              </w:rPr>
              <w:t xml:space="preserve">En este periodo </w:t>
            </w:r>
            <w:r w:rsidR="00C43361">
              <w:rPr>
                <w:rFonts w:asciiTheme="minorHAnsi" w:hAnsiTheme="minorHAnsi" w:cstheme="minorHAnsi"/>
                <w:sz w:val="16"/>
                <w:szCs w:val="16"/>
              </w:rPr>
              <w:t>se avanzó</w:t>
            </w:r>
            <w:r w:rsidR="00B04A66">
              <w:rPr>
                <w:rFonts w:asciiTheme="minorHAnsi" w:hAnsiTheme="minorHAnsi" w:cstheme="minorHAnsi"/>
                <w:sz w:val="16"/>
                <w:szCs w:val="16"/>
              </w:rPr>
              <w:t xml:space="preserve"> con la implementación de aquellas prácticas sostenibles que forman parte de los paquetes tecnológicos que el proyecto impulsa:</w:t>
            </w:r>
          </w:p>
          <w:p w14:paraId="67744BE6" w14:textId="4633AC5C" w:rsidR="00547DBD" w:rsidRPr="00DE692F" w:rsidRDefault="00547DBD" w:rsidP="00C43361">
            <w:pPr>
              <w:tabs>
                <w:tab w:val="left" w:pos="4680"/>
              </w:tabs>
              <w:ind w:left="313"/>
              <w:rPr>
                <w:rFonts w:asciiTheme="minorHAnsi" w:hAnsiTheme="minorHAnsi" w:cstheme="minorHAnsi"/>
                <w:sz w:val="16"/>
                <w:szCs w:val="16"/>
              </w:rPr>
            </w:pPr>
            <w:r w:rsidRPr="00DE692F">
              <w:rPr>
                <w:rFonts w:asciiTheme="minorHAnsi" w:hAnsiTheme="minorHAnsi" w:cstheme="minorHAnsi"/>
                <w:sz w:val="16"/>
                <w:szCs w:val="16"/>
              </w:rPr>
              <w:t>Café: Cosecha y post cosecha de cafés especiales (Amazonas), buenas prácticas (San Ignacio</w:t>
            </w:r>
            <w:r w:rsidR="005555E7">
              <w:rPr>
                <w:rFonts w:asciiTheme="minorHAnsi" w:hAnsiTheme="minorHAnsi" w:cstheme="minorHAnsi"/>
                <w:sz w:val="16"/>
                <w:szCs w:val="16"/>
              </w:rPr>
              <w:t>, SERFOR</w:t>
            </w:r>
            <w:r w:rsidRPr="00DE692F">
              <w:rPr>
                <w:rFonts w:asciiTheme="minorHAnsi" w:hAnsiTheme="minorHAnsi" w:cstheme="minorHAnsi"/>
                <w:sz w:val="16"/>
                <w:szCs w:val="16"/>
              </w:rPr>
              <w:t>)</w:t>
            </w:r>
          </w:p>
          <w:p w14:paraId="0EBAD6CF" w14:textId="2655C621" w:rsidR="00547DBD" w:rsidRPr="00DE692F" w:rsidRDefault="00547DBD" w:rsidP="00C43361">
            <w:pPr>
              <w:tabs>
                <w:tab w:val="left" w:pos="4680"/>
              </w:tabs>
              <w:ind w:left="313"/>
              <w:rPr>
                <w:rFonts w:asciiTheme="minorHAnsi" w:hAnsiTheme="minorHAnsi" w:cstheme="minorHAnsi"/>
                <w:sz w:val="16"/>
                <w:szCs w:val="16"/>
              </w:rPr>
            </w:pPr>
            <w:r w:rsidRPr="00DE692F">
              <w:rPr>
                <w:rFonts w:asciiTheme="minorHAnsi" w:hAnsiTheme="minorHAnsi" w:cstheme="minorHAnsi"/>
                <w:sz w:val="16"/>
                <w:szCs w:val="16"/>
              </w:rPr>
              <w:t>Cacao: buenas prácticas agrícolas y manejo integral de sistemas productivos (Alto Amazonas con OSINFOR y SERFOR)</w:t>
            </w:r>
          </w:p>
          <w:p w14:paraId="6AFED602" w14:textId="7886A8BE" w:rsidR="00547DBD" w:rsidRDefault="00B04A66" w:rsidP="000D565F">
            <w:pPr>
              <w:tabs>
                <w:tab w:val="left" w:pos="4680"/>
              </w:tabs>
              <w:rPr>
                <w:rFonts w:asciiTheme="minorHAnsi" w:hAnsiTheme="minorHAnsi" w:cstheme="minorHAnsi"/>
                <w:sz w:val="16"/>
                <w:szCs w:val="16"/>
              </w:rPr>
            </w:pPr>
            <w:r w:rsidRPr="000D565F">
              <w:rPr>
                <w:rFonts w:asciiTheme="minorHAnsi" w:hAnsiTheme="minorHAnsi" w:cstheme="minorHAnsi"/>
                <w:sz w:val="16"/>
                <w:szCs w:val="16"/>
              </w:rPr>
              <w:t>Del mismo modo, se coordinó con el gobierno regional de San Martín, para elaborar paquetes tecnológicos de café y cacao, los cuales formarán parte de dos proyectos de inversión pública que se encuentran en la etapa de expediente técnico.</w:t>
            </w:r>
            <w:r w:rsidR="000D565F">
              <w:rPr>
                <w:rFonts w:asciiTheme="minorHAnsi" w:hAnsiTheme="minorHAnsi" w:cstheme="minorHAnsi"/>
                <w:sz w:val="16"/>
                <w:szCs w:val="16"/>
              </w:rPr>
              <w:t xml:space="preserve"> A la fecha del informe estos servicios se encuentran en convocatoria.</w:t>
            </w:r>
            <w:r w:rsidR="00547DBD" w:rsidRPr="00DE692F">
              <w:rPr>
                <w:rFonts w:asciiTheme="minorHAnsi" w:hAnsiTheme="minorHAnsi" w:cstheme="minorHAnsi"/>
                <w:sz w:val="16"/>
                <w:szCs w:val="16"/>
              </w:rPr>
              <w:t xml:space="preserve"> </w:t>
            </w:r>
          </w:p>
          <w:p w14:paraId="0EC22A31" w14:textId="5C9E7189" w:rsidR="000D565F" w:rsidRPr="00DE692F" w:rsidRDefault="000D565F" w:rsidP="000D565F">
            <w:pPr>
              <w:tabs>
                <w:tab w:val="left" w:pos="4680"/>
              </w:tabs>
              <w:rPr>
                <w:rFonts w:asciiTheme="minorHAnsi" w:hAnsiTheme="minorHAnsi" w:cstheme="minorHAnsi"/>
                <w:sz w:val="16"/>
                <w:szCs w:val="16"/>
              </w:rPr>
            </w:pPr>
            <w:r>
              <w:rPr>
                <w:rFonts w:asciiTheme="minorHAnsi" w:hAnsiTheme="minorHAnsi" w:cstheme="minorHAnsi"/>
                <w:sz w:val="16"/>
                <w:szCs w:val="16"/>
              </w:rPr>
              <w:t xml:space="preserve">Finalmente, también se acordó con la ECA Chayunain y el proyecto </w:t>
            </w:r>
            <w:r w:rsidRPr="000D565F">
              <w:rPr>
                <w:rFonts w:asciiTheme="minorHAnsi" w:hAnsiTheme="minorHAnsi" w:cstheme="minorHAnsi"/>
                <w:sz w:val="16"/>
                <w:szCs w:val="16"/>
              </w:rPr>
              <w:t>el proyecto “Paisajes</w:t>
            </w:r>
            <w:r>
              <w:rPr>
                <w:rFonts w:asciiTheme="minorHAnsi" w:hAnsiTheme="minorHAnsi" w:cstheme="minorHAnsi"/>
                <w:sz w:val="16"/>
                <w:szCs w:val="16"/>
              </w:rPr>
              <w:t xml:space="preserve"> </w:t>
            </w:r>
            <w:r w:rsidRPr="000D565F">
              <w:rPr>
                <w:rFonts w:asciiTheme="minorHAnsi" w:hAnsiTheme="minorHAnsi" w:cstheme="minorHAnsi"/>
                <w:sz w:val="16"/>
                <w:szCs w:val="16"/>
              </w:rPr>
              <w:t>Amazónicos Vivo</w:t>
            </w:r>
            <w:r>
              <w:rPr>
                <w:rFonts w:asciiTheme="minorHAnsi" w:hAnsiTheme="minorHAnsi" w:cstheme="minorHAnsi"/>
                <w:sz w:val="16"/>
                <w:szCs w:val="16"/>
              </w:rPr>
              <w:t xml:space="preserve">s”, complementar la asistencia técnica agroecológica para los sistemas agroforestales de cacao de los comuneros que se encuentran en la zona de amortiguamiento </w:t>
            </w:r>
            <w:r w:rsidRPr="000D565F">
              <w:rPr>
                <w:rFonts w:asciiTheme="minorHAnsi" w:hAnsiTheme="minorHAnsi" w:cstheme="minorHAnsi"/>
                <w:sz w:val="16"/>
                <w:szCs w:val="16"/>
              </w:rPr>
              <w:t>de la</w:t>
            </w:r>
            <w:r>
              <w:rPr>
                <w:rFonts w:asciiTheme="minorHAnsi" w:hAnsiTheme="minorHAnsi" w:cstheme="minorHAnsi"/>
                <w:sz w:val="16"/>
                <w:szCs w:val="16"/>
              </w:rPr>
              <w:t xml:space="preserve"> </w:t>
            </w:r>
            <w:r w:rsidRPr="000D565F">
              <w:rPr>
                <w:rFonts w:asciiTheme="minorHAnsi" w:hAnsiTheme="minorHAnsi" w:cstheme="minorHAnsi"/>
                <w:sz w:val="16"/>
                <w:szCs w:val="16"/>
              </w:rPr>
              <w:t>Reserva Comunal Chayu Nain</w:t>
            </w:r>
            <w:r>
              <w:rPr>
                <w:rFonts w:asciiTheme="minorHAnsi" w:hAnsiTheme="minorHAnsi" w:cstheme="minorHAnsi"/>
                <w:sz w:val="16"/>
                <w:szCs w:val="16"/>
              </w:rPr>
              <w:t>.</w:t>
            </w:r>
          </w:p>
        </w:tc>
        <w:tc>
          <w:tcPr>
            <w:tcW w:w="6520" w:type="dxa"/>
            <w:gridSpan w:val="6"/>
            <w:tcBorders>
              <w:bottom w:val="single" w:sz="4" w:space="0" w:color="auto"/>
            </w:tcBorders>
            <w:vAlign w:val="center"/>
          </w:tcPr>
          <w:p w14:paraId="6BD54DA1" w14:textId="53945540" w:rsidR="009404D7" w:rsidRPr="009404D7" w:rsidRDefault="009404D7" w:rsidP="009404D7">
            <w:pPr>
              <w:tabs>
                <w:tab w:val="left" w:pos="4680"/>
              </w:tabs>
              <w:rPr>
                <w:rFonts w:asciiTheme="minorHAnsi" w:hAnsiTheme="minorHAnsi" w:cstheme="minorHAnsi"/>
                <w:sz w:val="16"/>
                <w:szCs w:val="16"/>
              </w:rPr>
            </w:pPr>
            <w:r w:rsidRPr="009404D7">
              <w:rPr>
                <w:rFonts w:asciiTheme="minorHAnsi" w:hAnsiTheme="minorHAnsi" w:cstheme="minorHAnsi"/>
                <w:sz w:val="16"/>
                <w:szCs w:val="16"/>
              </w:rPr>
              <w:t xml:space="preserve">Durante los talleres realizados en 2024, se </w:t>
            </w:r>
            <w:r w:rsidR="007B39E8">
              <w:rPr>
                <w:rFonts w:asciiTheme="minorHAnsi" w:hAnsiTheme="minorHAnsi" w:cstheme="minorHAnsi"/>
                <w:sz w:val="16"/>
                <w:szCs w:val="16"/>
              </w:rPr>
              <w:t>identificó</w:t>
            </w:r>
            <w:r w:rsidRPr="009404D7">
              <w:rPr>
                <w:rFonts w:asciiTheme="minorHAnsi" w:hAnsiTheme="minorHAnsi" w:cstheme="minorHAnsi"/>
                <w:sz w:val="16"/>
                <w:szCs w:val="16"/>
              </w:rPr>
              <w:t xml:space="preserve"> diversos paquetes tecnológicos que cumplen con las características establecidas en el PRODOC y que contribuyen a la producción libre de deforestación. En ese marco, el proyecto </w:t>
            </w:r>
            <w:r>
              <w:rPr>
                <w:rFonts w:asciiTheme="minorHAnsi" w:hAnsiTheme="minorHAnsi" w:cstheme="minorHAnsi"/>
                <w:sz w:val="16"/>
                <w:szCs w:val="16"/>
              </w:rPr>
              <w:t>viene realizando</w:t>
            </w:r>
            <w:r w:rsidRPr="009404D7">
              <w:rPr>
                <w:rFonts w:asciiTheme="minorHAnsi" w:hAnsiTheme="minorHAnsi" w:cstheme="minorHAnsi"/>
                <w:sz w:val="16"/>
                <w:szCs w:val="16"/>
              </w:rPr>
              <w:t xml:space="preserve"> coordinaciones con actores territoriales para avanzar en la sistematización de estos paquetes, así como en su progresiva socialización e implementación</w:t>
            </w:r>
            <w:r>
              <w:rPr>
                <w:rFonts w:asciiTheme="minorHAnsi" w:hAnsiTheme="minorHAnsi" w:cstheme="minorHAnsi"/>
                <w:sz w:val="16"/>
                <w:szCs w:val="16"/>
              </w:rPr>
              <w:t xml:space="preserve"> mediante asistencia técnica</w:t>
            </w:r>
            <w:r w:rsidRPr="009404D7">
              <w:rPr>
                <w:rFonts w:asciiTheme="minorHAnsi" w:hAnsiTheme="minorHAnsi" w:cstheme="minorHAnsi"/>
                <w:sz w:val="16"/>
                <w:szCs w:val="16"/>
              </w:rPr>
              <w:t>.</w:t>
            </w:r>
          </w:p>
          <w:p w14:paraId="10719BBD" w14:textId="785AF297" w:rsidR="009404D7" w:rsidRDefault="009404D7" w:rsidP="009404D7">
            <w:pPr>
              <w:tabs>
                <w:tab w:val="left" w:pos="4680"/>
              </w:tabs>
              <w:rPr>
                <w:rFonts w:asciiTheme="minorHAnsi" w:hAnsiTheme="minorHAnsi" w:cstheme="minorHAnsi"/>
                <w:sz w:val="16"/>
                <w:szCs w:val="16"/>
              </w:rPr>
            </w:pPr>
            <w:r w:rsidRPr="009404D7">
              <w:rPr>
                <w:rFonts w:asciiTheme="minorHAnsi" w:hAnsiTheme="minorHAnsi" w:cstheme="minorHAnsi"/>
                <w:sz w:val="16"/>
                <w:szCs w:val="16"/>
              </w:rPr>
              <w:t>Inicialmente, se planteó articular este proceso con el Ministerio de Desarrollo Agrario y Riego (MIDAGRI) y sus entidades adscritas, priorizando la sistematización de información ya existente y desarrollada por distintos actores. No obstante, esta estrategia fue reconsiderada a partir de los aportes de organizaciones de productores y mesas técnicas regionales, quienes señalaron la necesidad de contar con paquetes tecnológicos adaptados a las características ecológicas, productivas y socioeconómicas de cada paisaje.</w:t>
            </w:r>
            <w:r>
              <w:rPr>
                <w:rFonts w:asciiTheme="minorHAnsi" w:hAnsiTheme="minorHAnsi" w:cstheme="minorHAnsi"/>
                <w:sz w:val="16"/>
                <w:szCs w:val="16"/>
              </w:rPr>
              <w:t xml:space="preserve"> </w:t>
            </w:r>
          </w:p>
          <w:p w14:paraId="7029F086" w14:textId="3CD13CB4" w:rsidR="009404D7" w:rsidRPr="009404D7" w:rsidRDefault="009404D7" w:rsidP="009404D7">
            <w:pPr>
              <w:tabs>
                <w:tab w:val="left" w:pos="4680"/>
              </w:tabs>
              <w:rPr>
                <w:rFonts w:asciiTheme="minorHAnsi" w:hAnsiTheme="minorHAnsi" w:cstheme="minorHAnsi"/>
                <w:sz w:val="16"/>
                <w:szCs w:val="16"/>
              </w:rPr>
            </w:pPr>
            <w:r>
              <w:rPr>
                <w:rFonts w:asciiTheme="minorHAnsi" w:hAnsiTheme="minorHAnsi" w:cstheme="minorHAnsi"/>
                <w:sz w:val="16"/>
                <w:szCs w:val="16"/>
              </w:rPr>
              <w:t>Por tal motivo, es que se acordó el trabajo señalado con el GORE San Martín</w:t>
            </w:r>
            <w:r w:rsidR="00563377">
              <w:rPr>
                <w:rFonts w:asciiTheme="minorHAnsi" w:hAnsiTheme="minorHAnsi" w:cstheme="minorHAnsi"/>
                <w:sz w:val="16"/>
                <w:szCs w:val="16"/>
              </w:rPr>
              <w:t xml:space="preserve"> </w:t>
            </w:r>
            <w:r>
              <w:rPr>
                <w:rFonts w:asciiTheme="minorHAnsi" w:hAnsiTheme="minorHAnsi" w:cstheme="minorHAnsi"/>
                <w:sz w:val="16"/>
                <w:szCs w:val="16"/>
              </w:rPr>
              <w:t>y se vienen evaluando similares proyectos con el GORE Amazonas y Cajamarca.</w:t>
            </w:r>
          </w:p>
          <w:p w14:paraId="49D955AB" w14:textId="13F325B7" w:rsidR="00AD68D6" w:rsidRPr="00DE692F" w:rsidRDefault="006A078C" w:rsidP="00547DBD">
            <w:pPr>
              <w:tabs>
                <w:tab w:val="left" w:pos="4680"/>
              </w:tabs>
              <w:rPr>
                <w:rFonts w:asciiTheme="minorHAnsi" w:hAnsiTheme="minorHAnsi" w:cstheme="minorHAnsi"/>
                <w:sz w:val="16"/>
                <w:szCs w:val="16"/>
              </w:rPr>
            </w:pPr>
            <w:r>
              <w:rPr>
                <w:rFonts w:asciiTheme="minorHAnsi" w:hAnsiTheme="minorHAnsi" w:cstheme="minorHAnsi"/>
                <w:sz w:val="16"/>
                <w:szCs w:val="16"/>
              </w:rPr>
              <w:t>Finalmente, en respuesta a</w:t>
            </w:r>
            <w:r w:rsidR="009404D7" w:rsidRPr="009404D7">
              <w:rPr>
                <w:rFonts w:asciiTheme="minorHAnsi" w:hAnsiTheme="minorHAnsi" w:cstheme="minorHAnsi"/>
                <w:sz w:val="16"/>
                <w:szCs w:val="16"/>
              </w:rPr>
              <w:t xml:space="preserve"> esta demanda, se ha adjudicado un servicio especializado para realizar la caracterización de las cadenas de valor en cada paisaje priorizado. Este proceso permitirá disponer de información validada sobre la priorización de cadenas y mercados en cada territorio, generando una base técnica sólida para la sistematización contextualizada de los paquetes tecnológicos y su posterior implementación.</w:t>
            </w:r>
          </w:p>
        </w:tc>
      </w:tr>
      <w:tr w:rsidR="00547DBD" w:rsidRPr="00DE692F" w14:paraId="64DD2ECF" w14:textId="77777777" w:rsidTr="005B7DD9">
        <w:trPr>
          <w:trHeight w:val="1190"/>
        </w:trPr>
        <w:tc>
          <w:tcPr>
            <w:tcW w:w="1702" w:type="dxa"/>
            <w:tcBorders>
              <w:bottom w:val="single" w:sz="4" w:space="0" w:color="auto"/>
            </w:tcBorders>
            <w:shd w:val="clear" w:color="auto" w:fill="D0CECE" w:themeFill="background2" w:themeFillShade="E6"/>
            <w:vAlign w:val="center"/>
          </w:tcPr>
          <w:p w14:paraId="0946F861" w14:textId="3F6403FA" w:rsidR="00547DBD" w:rsidRPr="00DE692F" w:rsidRDefault="00547DBD" w:rsidP="00547DBD">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2.1.2</w:t>
            </w:r>
          </w:p>
        </w:tc>
        <w:tc>
          <w:tcPr>
            <w:tcW w:w="2400" w:type="dxa"/>
            <w:tcBorders>
              <w:bottom w:val="single" w:sz="4" w:space="0" w:color="auto"/>
            </w:tcBorders>
            <w:shd w:val="clear" w:color="auto" w:fill="D0CECE" w:themeFill="background2" w:themeFillShade="E6"/>
            <w:vAlign w:val="center"/>
          </w:tcPr>
          <w:p w14:paraId="02B34CB3"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33922FFE"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0A47E943"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3CC6C7C"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546A8CEA"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16ACCBDF"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7E15DBD6"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79F98EE"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0BAA36D"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031C5296"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098EAA1"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356E0DCA"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5A13CD22" w14:textId="77777777" w:rsidR="00547DBD" w:rsidRPr="00DE692F" w:rsidRDefault="00547DBD" w:rsidP="00547DBD">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44B16785" w14:textId="77777777" w:rsidR="00547DBD" w:rsidRPr="00DE692F" w:rsidRDefault="00547DBD" w:rsidP="00547DBD">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70447A" w:rsidRPr="00DE692F" w14:paraId="490A13E3" w14:textId="77777777" w:rsidTr="005B7DD9">
        <w:trPr>
          <w:trHeight w:val="688"/>
        </w:trPr>
        <w:tc>
          <w:tcPr>
            <w:tcW w:w="1702" w:type="dxa"/>
            <w:vAlign w:val="center"/>
          </w:tcPr>
          <w:p w14:paraId="14599EB5" w14:textId="1A7AF5B0" w:rsidR="0070447A" w:rsidRPr="00DE692F" w:rsidRDefault="0070447A" w:rsidP="0070447A">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Plataformas de diálogo de commodities evaluadas y fortalecidas, a nivel nacional y regional, asegurando la participación de múltiples partes interesadas. Las evaluaciones evaluarán los objetivos de commodities de las plataformas en relación con las capacidades existentes para alcanzar estos objetivos e implementar planes de acción</w:t>
            </w:r>
          </w:p>
        </w:tc>
        <w:tc>
          <w:tcPr>
            <w:tcW w:w="2400" w:type="dxa"/>
            <w:vAlign w:val="center"/>
          </w:tcPr>
          <w:p w14:paraId="4D2A419F" w14:textId="3507F406"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69244F9E" w14:textId="6651DC02" w:rsidR="0070447A" w:rsidRPr="00DE692F" w:rsidRDefault="0070447A" w:rsidP="0070447A">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310F5EF4" w14:textId="192FBEF9"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35BA8877" w14:textId="0947D5F9"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5011FE31" w14:textId="1CE1EE10"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5D518A25" w14:textId="3A74EF45"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1C2DA04F" w14:textId="6DBF9B4E" w:rsidR="0070447A" w:rsidRPr="00DE692F" w:rsidRDefault="002B0686"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1D6BBBA3" w14:textId="4F74AFA6" w:rsidR="0070447A" w:rsidRPr="00DE692F" w:rsidRDefault="00C14FF7" w:rsidP="0070447A">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30</w:t>
            </w:r>
            <w:r>
              <w:rPr>
                <w:rStyle w:val="Refdenotaalpie"/>
                <w:rFonts w:eastAsiaTheme="minorEastAsia" w:cstheme="minorHAnsi"/>
                <w:szCs w:val="16"/>
              </w:rPr>
              <w:footnoteReference w:id="19"/>
            </w:r>
            <w:r w:rsidR="002C3C58" w:rsidRPr="00DE692F">
              <w:rPr>
                <w:rFonts w:asciiTheme="minorHAnsi" w:eastAsiaTheme="minorEastAsia" w:hAnsiTheme="minorHAnsi" w:cstheme="minorHAnsi"/>
                <w:sz w:val="16"/>
                <w:szCs w:val="16"/>
              </w:rPr>
              <w:t>%</w:t>
            </w:r>
          </w:p>
        </w:tc>
      </w:tr>
      <w:tr w:rsidR="0070447A" w:rsidRPr="00DE692F" w14:paraId="65C6B5B9" w14:textId="77777777" w:rsidTr="005B7DD9">
        <w:trPr>
          <w:trHeight w:val="176"/>
        </w:trPr>
        <w:tc>
          <w:tcPr>
            <w:tcW w:w="11482" w:type="dxa"/>
            <w:gridSpan w:val="9"/>
            <w:shd w:val="clear" w:color="auto" w:fill="D0CECE" w:themeFill="background2" w:themeFillShade="E6"/>
            <w:vAlign w:val="center"/>
          </w:tcPr>
          <w:p w14:paraId="22A9C3BC" w14:textId="77777777" w:rsidR="0070447A" w:rsidRPr="00DE692F" w:rsidRDefault="0070447A" w:rsidP="0070447A">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70447A" w:rsidRPr="00DE692F" w14:paraId="50DF1AA1" w14:textId="77777777" w:rsidTr="005B7DD9">
        <w:trPr>
          <w:trHeight w:val="294"/>
        </w:trPr>
        <w:tc>
          <w:tcPr>
            <w:tcW w:w="1702" w:type="dxa"/>
            <w:vAlign w:val="center"/>
          </w:tcPr>
          <w:p w14:paraId="13365D6A" w14:textId="75A35B60" w:rsidR="0070447A" w:rsidRPr="00DE692F" w:rsidRDefault="0070447A" w:rsidP="0070447A">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2.1.2.1</w:t>
            </w:r>
          </w:p>
        </w:tc>
        <w:tc>
          <w:tcPr>
            <w:tcW w:w="9780" w:type="dxa"/>
            <w:gridSpan w:val="8"/>
            <w:vAlign w:val="center"/>
          </w:tcPr>
          <w:p w14:paraId="27AA71DE" w14:textId="54D92125" w:rsidR="0070447A" w:rsidRPr="00DE692F" w:rsidRDefault="0070447A" w:rsidP="0070447A">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Apoyo en la implementación de la hoja de ruta (planes de trabajo) de las plataformas de mesas técnicas a nivel regional</w:t>
            </w:r>
          </w:p>
        </w:tc>
      </w:tr>
      <w:tr w:rsidR="0070447A" w:rsidRPr="00DE692F" w14:paraId="12773F6C" w14:textId="77777777" w:rsidTr="005B7DD9">
        <w:trPr>
          <w:trHeight w:val="256"/>
        </w:trPr>
        <w:tc>
          <w:tcPr>
            <w:tcW w:w="1702" w:type="dxa"/>
            <w:vAlign w:val="center"/>
          </w:tcPr>
          <w:p w14:paraId="1A0D692F" w14:textId="6062C3CE" w:rsidR="0070447A" w:rsidRPr="00DE692F" w:rsidRDefault="0070447A" w:rsidP="0070447A">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2.1.2.2</w:t>
            </w:r>
          </w:p>
        </w:tc>
        <w:tc>
          <w:tcPr>
            <w:tcW w:w="9780" w:type="dxa"/>
            <w:gridSpan w:val="8"/>
            <w:vAlign w:val="center"/>
          </w:tcPr>
          <w:p w14:paraId="0F88E99F" w14:textId="0C1FD363" w:rsidR="0070447A" w:rsidRPr="00DE692F" w:rsidRDefault="0070447A" w:rsidP="0070447A">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Incluir criterios de género e interculturalidad en estatutos de organizaciones priorizadas</w:t>
            </w:r>
          </w:p>
        </w:tc>
      </w:tr>
      <w:tr w:rsidR="0070447A" w:rsidRPr="00DE692F" w14:paraId="6BA7F4B3" w14:textId="77777777" w:rsidTr="005B7DD9">
        <w:trPr>
          <w:trHeight w:val="232"/>
        </w:trPr>
        <w:tc>
          <w:tcPr>
            <w:tcW w:w="1702" w:type="dxa"/>
            <w:vAlign w:val="center"/>
          </w:tcPr>
          <w:p w14:paraId="03C8D0BB" w14:textId="0E953219" w:rsidR="0070447A" w:rsidRPr="00DE692F" w:rsidRDefault="0070447A" w:rsidP="0070447A">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2.1.2.3</w:t>
            </w:r>
          </w:p>
        </w:tc>
        <w:tc>
          <w:tcPr>
            <w:tcW w:w="9780" w:type="dxa"/>
            <w:gridSpan w:val="8"/>
            <w:vAlign w:val="center"/>
          </w:tcPr>
          <w:p w14:paraId="49FC35C7" w14:textId="4EB58AF6" w:rsidR="0070447A" w:rsidRPr="00DE692F" w:rsidRDefault="0070447A" w:rsidP="0070447A">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Fortalecimiento de capacidades de actores de la cadena en erradicación del trabajo infantil</w:t>
            </w:r>
          </w:p>
        </w:tc>
      </w:tr>
      <w:tr w:rsidR="0070447A" w:rsidRPr="00DE692F" w14:paraId="79DBF19C" w14:textId="77777777" w:rsidTr="005B7DD9">
        <w:trPr>
          <w:trHeight w:val="688"/>
        </w:trPr>
        <w:tc>
          <w:tcPr>
            <w:tcW w:w="4962" w:type="dxa"/>
            <w:gridSpan w:val="3"/>
            <w:tcBorders>
              <w:bottom w:val="single" w:sz="4" w:space="0" w:color="auto"/>
            </w:tcBorders>
            <w:vAlign w:val="center"/>
          </w:tcPr>
          <w:p w14:paraId="128AE25E" w14:textId="77777777" w:rsidR="00417844" w:rsidRDefault="00417844" w:rsidP="0070447A">
            <w:pPr>
              <w:tabs>
                <w:tab w:val="left" w:pos="4680"/>
              </w:tabs>
              <w:rPr>
                <w:rFonts w:asciiTheme="minorHAnsi" w:hAnsiTheme="minorHAnsi" w:cstheme="minorHAnsi"/>
                <w:sz w:val="16"/>
                <w:szCs w:val="16"/>
              </w:rPr>
            </w:pPr>
          </w:p>
          <w:p w14:paraId="2E727C15" w14:textId="0BBAA64F" w:rsidR="00477EB3" w:rsidRPr="00DE692F" w:rsidRDefault="00AD68D6" w:rsidP="0070447A">
            <w:pPr>
              <w:tabs>
                <w:tab w:val="left" w:pos="4680"/>
              </w:tabs>
              <w:rPr>
                <w:rFonts w:asciiTheme="minorHAnsi" w:hAnsiTheme="minorHAnsi" w:cstheme="minorHAnsi"/>
                <w:sz w:val="16"/>
                <w:szCs w:val="16"/>
              </w:rPr>
            </w:pPr>
            <w:r>
              <w:rPr>
                <w:rFonts w:asciiTheme="minorHAnsi" w:hAnsiTheme="minorHAnsi" w:cstheme="minorHAnsi"/>
                <w:sz w:val="16"/>
                <w:szCs w:val="16"/>
              </w:rPr>
              <w:t>D</w:t>
            </w:r>
            <w:r w:rsidR="00477EB3" w:rsidRPr="00477EB3">
              <w:rPr>
                <w:rFonts w:asciiTheme="minorHAnsi" w:hAnsiTheme="minorHAnsi" w:cstheme="minorHAnsi"/>
                <w:sz w:val="16"/>
                <w:szCs w:val="16"/>
              </w:rPr>
              <w:t xml:space="preserve">urante el 2025 </w:t>
            </w:r>
            <w:r w:rsidR="00477EB3">
              <w:rPr>
                <w:rFonts w:asciiTheme="minorHAnsi" w:hAnsiTheme="minorHAnsi" w:cstheme="minorHAnsi"/>
                <w:sz w:val="16"/>
                <w:szCs w:val="16"/>
              </w:rPr>
              <w:t>se brindó apoyo a</w:t>
            </w:r>
            <w:r w:rsidR="00477EB3" w:rsidRPr="00477EB3">
              <w:rPr>
                <w:rFonts w:asciiTheme="minorHAnsi" w:hAnsiTheme="minorHAnsi" w:cstheme="minorHAnsi"/>
                <w:sz w:val="16"/>
                <w:szCs w:val="16"/>
              </w:rPr>
              <w:t xml:space="preserve"> </w:t>
            </w:r>
            <w:r w:rsidR="00477EB3">
              <w:rPr>
                <w:rFonts w:asciiTheme="minorHAnsi" w:hAnsiTheme="minorHAnsi" w:cstheme="minorHAnsi"/>
                <w:sz w:val="16"/>
                <w:szCs w:val="16"/>
              </w:rPr>
              <w:t>5</w:t>
            </w:r>
            <w:r w:rsidR="00477EB3" w:rsidRPr="00477EB3">
              <w:rPr>
                <w:rFonts w:asciiTheme="minorHAnsi" w:hAnsiTheme="minorHAnsi" w:cstheme="minorHAnsi"/>
                <w:sz w:val="16"/>
                <w:szCs w:val="16"/>
              </w:rPr>
              <w:t xml:space="preserve"> mesas técnicas regionales o plataformas de café y cacao en el ámbito del proyecto, orientado fortalecer su gobernanza, capacidades y</w:t>
            </w:r>
            <w:r w:rsidR="00477EB3">
              <w:rPr>
                <w:rFonts w:asciiTheme="minorHAnsi" w:hAnsiTheme="minorHAnsi" w:cstheme="minorHAnsi"/>
                <w:sz w:val="16"/>
                <w:szCs w:val="16"/>
              </w:rPr>
              <w:t xml:space="preserve"> desempeño, tomando como base los diagnósticos realizados el 2024</w:t>
            </w:r>
            <w:r w:rsidR="00477EB3" w:rsidRPr="00477EB3">
              <w:rPr>
                <w:rFonts w:asciiTheme="minorHAnsi" w:hAnsiTheme="minorHAnsi" w:cstheme="minorHAnsi"/>
                <w:sz w:val="16"/>
                <w:szCs w:val="16"/>
              </w:rPr>
              <w:t>. Este acompañamiento</w:t>
            </w:r>
            <w:r w:rsidR="00477EB3">
              <w:rPr>
                <w:rFonts w:asciiTheme="minorHAnsi" w:hAnsiTheme="minorHAnsi" w:cstheme="minorHAnsi"/>
                <w:sz w:val="16"/>
                <w:szCs w:val="16"/>
              </w:rPr>
              <w:t xml:space="preserve"> busca facilitar que alcancen sus</w:t>
            </w:r>
            <w:r w:rsidR="00477EB3" w:rsidRPr="00477EB3">
              <w:rPr>
                <w:rFonts w:asciiTheme="minorHAnsi" w:hAnsiTheme="minorHAnsi" w:cstheme="minorHAnsi"/>
                <w:sz w:val="16"/>
                <w:szCs w:val="16"/>
              </w:rPr>
              <w:t xml:space="preserve"> objetivos sectoriales, así como mejorar </w:t>
            </w:r>
            <w:r w:rsidR="00477EB3">
              <w:rPr>
                <w:rFonts w:asciiTheme="minorHAnsi" w:hAnsiTheme="minorHAnsi" w:cstheme="minorHAnsi"/>
                <w:sz w:val="16"/>
                <w:szCs w:val="16"/>
              </w:rPr>
              <w:t xml:space="preserve">la implementación de </w:t>
            </w:r>
            <w:r w:rsidR="00477EB3" w:rsidRPr="00477EB3">
              <w:rPr>
                <w:rFonts w:asciiTheme="minorHAnsi" w:hAnsiTheme="minorHAnsi" w:cstheme="minorHAnsi"/>
                <w:sz w:val="16"/>
                <w:szCs w:val="16"/>
              </w:rPr>
              <w:t xml:space="preserve">sus planes de </w:t>
            </w:r>
            <w:r w:rsidR="00E342AF">
              <w:rPr>
                <w:rFonts w:asciiTheme="minorHAnsi" w:hAnsiTheme="minorHAnsi" w:cstheme="minorHAnsi"/>
                <w:sz w:val="16"/>
                <w:szCs w:val="16"/>
              </w:rPr>
              <w:t>trabajo</w:t>
            </w:r>
            <w:r w:rsidR="00477EB3">
              <w:rPr>
                <w:rFonts w:asciiTheme="minorHAnsi" w:hAnsiTheme="minorHAnsi" w:cstheme="minorHAnsi"/>
                <w:sz w:val="16"/>
                <w:szCs w:val="16"/>
              </w:rPr>
              <w:t>. Entre las principales actividades realizadas se tiene:</w:t>
            </w:r>
          </w:p>
          <w:p w14:paraId="454D1B9A" w14:textId="038DD709" w:rsidR="007575DE" w:rsidRDefault="007575DE" w:rsidP="00167159">
            <w:pPr>
              <w:pStyle w:val="Prrafodelista"/>
              <w:numPr>
                <w:ilvl w:val="0"/>
                <w:numId w:val="44"/>
              </w:numPr>
              <w:tabs>
                <w:tab w:val="left" w:pos="4680"/>
              </w:tabs>
              <w:ind w:hanging="189"/>
              <w:rPr>
                <w:rFonts w:asciiTheme="minorHAnsi" w:hAnsiTheme="minorHAnsi" w:cstheme="minorHAnsi"/>
                <w:sz w:val="16"/>
                <w:szCs w:val="16"/>
              </w:rPr>
            </w:pPr>
            <w:r w:rsidRPr="00AD68D6">
              <w:rPr>
                <w:rFonts w:asciiTheme="minorHAnsi" w:hAnsiTheme="minorHAnsi" w:cstheme="minorHAnsi"/>
                <w:sz w:val="16"/>
                <w:szCs w:val="16"/>
              </w:rPr>
              <w:t xml:space="preserve">Plataforma Multiactor </w:t>
            </w:r>
            <w:r w:rsidR="00AD68D6">
              <w:rPr>
                <w:rFonts w:asciiTheme="minorHAnsi" w:hAnsiTheme="minorHAnsi" w:cstheme="minorHAnsi"/>
                <w:sz w:val="16"/>
                <w:szCs w:val="16"/>
              </w:rPr>
              <w:t xml:space="preserve">del </w:t>
            </w:r>
            <w:r w:rsidRPr="00AD68D6">
              <w:rPr>
                <w:rFonts w:asciiTheme="minorHAnsi" w:hAnsiTheme="minorHAnsi" w:cstheme="minorHAnsi"/>
                <w:sz w:val="16"/>
                <w:szCs w:val="16"/>
              </w:rPr>
              <w:t>Café</w:t>
            </w:r>
            <w:r w:rsidR="00AD68D6">
              <w:rPr>
                <w:rFonts w:asciiTheme="minorHAnsi" w:hAnsiTheme="minorHAnsi" w:cstheme="minorHAnsi"/>
                <w:sz w:val="16"/>
                <w:szCs w:val="16"/>
              </w:rPr>
              <w:t xml:space="preserve"> de</w:t>
            </w:r>
            <w:r w:rsidRPr="00AD68D6">
              <w:rPr>
                <w:rFonts w:asciiTheme="minorHAnsi" w:hAnsiTheme="minorHAnsi" w:cstheme="minorHAnsi"/>
                <w:sz w:val="16"/>
                <w:szCs w:val="16"/>
              </w:rPr>
              <w:t xml:space="preserve"> Cajamarca: </w:t>
            </w:r>
            <w:r w:rsidR="00477EB3">
              <w:rPr>
                <w:rFonts w:asciiTheme="minorHAnsi" w:hAnsiTheme="minorHAnsi" w:cstheme="minorHAnsi"/>
                <w:sz w:val="16"/>
                <w:szCs w:val="16"/>
              </w:rPr>
              <w:t xml:space="preserve">de forma colaborativa con Rikolto y el proyecto GCP de PNUD, se elaboró una propuesta para mejorar la gobernanza </w:t>
            </w:r>
            <w:r w:rsidR="00477EB3" w:rsidRPr="00477EB3">
              <w:rPr>
                <w:rFonts w:asciiTheme="minorHAnsi" w:hAnsiTheme="minorHAnsi" w:cstheme="minorHAnsi"/>
                <w:sz w:val="16"/>
                <w:szCs w:val="16"/>
              </w:rPr>
              <w:t>de la PMACC</w:t>
            </w:r>
            <w:r w:rsidR="00477EB3">
              <w:rPr>
                <w:rFonts w:asciiTheme="minorHAnsi" w:hAnsiTheme="minorHAnsi" w:cstheme="minorHAnsi"/>
                <w:sz w:val="16"/>
                <w:szCs w:val="16"/>
              </w:rPr>
              <w:t xml:space="preserve">. Además, en </w:t>
            </w:r>
            <w:r w:rsidR="00AD68D6">
              <w:rPr>
                <w:rFonts w:asciiTheme="minorHAnsi" w:hAnsiTheme="minorHAnsi" w:cstheme="minorHAnsi"/>
                <w:sz w:val="16"/>
                <w:szCs w:val="16"/>
              </w:rPr>
              <w:t>coordinación con MINCETUR se realizó una c</w:t>
            </w:r>
            <w:r w:rsidRPr="00AD68D6">
              <w:rPr>
                <w:rFonts w:asciiTheme="minorHAnsi" w:hAnsiTheme="minorHAnsi" w:cstheme="minorHAnsi"/>
                <w:sz w:val="16"/>
                <w:szCs w:val="16"/>
              </w:rPr>
              <w:t>apacitación en catación</w:t>
            </w:r>
            <w:r w:rsidR="00AD68D6">
              <w:rPr>
                <w:rFonts w:asciiTheme="minorHAnsi" w:hAnsiTheme="minorHAnsi" w:cstheme="minorHAnsi"/>
                <w:sz w:val="16"/>
                <w:szCs w:val="16"/>
              </w:rPr>
              <w:t xml:space="preserve"> de café dirigida a especialistas de calidad e hijos de socios de organizaciones de productores. </w:t>
            </w:r>
            <w:r w:rsidR="00D8743C">
              <w:rPr>
                <w:rFonts w:asciiTheme="minorHAnsi" w:hAnsiTheme="minorHAnsi" w:cstheme="minorHAnsi"/>
                <w:sz w:val="16"/>
                <w:szCs w:val="16"/>
              </w:rPr>
              <w:t xml:space="preserve"> </w:t>
            </w:r>
          </w:p>
          <w:p w14:paraId="0ACEB006" w14:textId="77777777" w:rsidR="00167159" w:rsidRPr="00AD68D6" w:rsidRDefault="00167159" w:rsidP="00167159">
            <w:pPr>
              <w:pStyle w:val="Prrafodelista"/>
              <w:tabs>
                <w:tab w:val="left" w:pos="4680"/>
              </w:tabs>
              <w:ind w:left="360"/>
              <w:rPr>
                <w:rFonts w:asciiTheme="minorHAnsi" w:hAnsiTheme="minorHAnsi" w:cstheme="minorHAnsi"/>
                <w:sz w:val="16"/>
                <w:szCs w:val="16"/>
              </w:rPr>
            </w:pPr>
          </w:p>
          <w:p w14:paraId="6E70C7F3" w14:textId="77777777" w:rsidR="00167159" w:rsidRDefault="00167159" w:rsidP="00167159">
            <w:pPr>
              <w:pStyle w:val="Prrafodelista"/>
              <w:numPr>
                <w:ilvl w:val="0"/>
                <w:numId w:val="44"/>
              </w:numPr>
              <w:tabs>
                <w:tab w:val="left" w:pos="4680"/>
              </w:tabs>
              <w:ind w:hanging="189"/>
              <w:rPr>
                <w:rFonts w:asciiTheme="minorHAnsi" w:hAnsiTheme="minorHAnsi" w:cstheme="minorHAnsi"/>
                <w:sz w:val="16"/>
                <w:szCs w:val="16"/>
              </w:rPr>
            </w:pPr>
            <w:r w:rsidRPr="00AD68D6">
              <w:rPr>
                <w:rFonts w:asciiTheme="minorHAnsi" w:hAnsiTheme="minorHAnsi" w:cstheme="minorHAnsi"/>
                <w:sz w:val="16"/>
                <w:szCs w:val="16"/>
              </w:rPr>
              <w:t xml:space="preserve">MTR Cacao San Martín: </w:t>
            </w:r>
            <w:r>
              <w:rPr>
                <w:rFonts w:asciiTheme="minorHAnsi" w:hAnsiTheme="minorHAnsi" w:cstheme="minorHAnsi"/>
                <w:sz w:val="16"/>
                <w:szCs w:val="16"/>
              </w:rPr>
              <w:t>Se facilitó la participación del presidente de la mesa en espacios relevantes para su gestión (F</w:t>
            </w:r>
            <w:r w:rsidRPr="00AD68D6">
              <w:rPr>
                <w:rFonts w:asciiTheme="minorHAnsi" w:hAnsiTheme="minorHAnsi" w:cstheme="minorHAnsi"/>
                <w:sz w:val="16"/>
                <w:szCs w:val="16"/>
              </w:rPr>
              <w:t>ICACAO</w:t>
            </w:r>
            <w:r>
              <w:rPr>
                <w:rFonts w:asciiTheme="minorHAnsi" w:hAnsiTheme="minorHAnsi" w:cstheme="minorHAnsi"/>
                <w:sz w:val="16"/>
                <w:szCs w:val="16"/>
              </w:rPr>
              <w:t xml:space="preserve"> y </w:t>
            </w:r>
            <w:r w:rsidRPr="00D8743C">
              <w:rPr>
                <w:rFonts w:asciiTheme="minorHAnsi" w:hAnsiTheme="minorHAnsi" w:cstheme="minorHAnsi"/>
                <w:sz w:val="16"/>
                <w:szCs w:val="16"/>
              </w:rPr>
              <w:t>27a Convención Nacional del Café y Cacao</w:t>
            </w:r>
            <w:r>
              <w:rPr>
                <w:rFonts w:asciiTheme="minorHAnsi" w:hAnsiTheme="minorHAnsi" w:cstheme="minorHAnsi"/>
                <w:sz w:val="16"/>
                <w:szCs w:val="16"/>
              </w:rPr>
              <w:t>). También se brindó asistencia técnica para la elaboración</w:t>
            </w:r>
            <w:r w:rsidRPr="00AD68D6">
              <w:rPr>
                <w:rFonts w:asciiTheme="minorHAnsi" w:hAnsiTheme="minorHAnsi" w:cstheme="minorHAnsi"/>
                <w:sz w:val="16"/>
                <w:szCs w:val="16"/>
              </w:rPr>
              <w:t xml:space="preserve"> de </w:t>
            </w:r>
            <w:r>
              <w:rPr>
                <w:rFonts w:asciiTheme="minorHAnsi" w:hAnsiTheme="minorHAnsi" w:cstheme="minorHAnsi"/>
                <w:sz w:val="16"/>
                <w:szCs w:val="16"/>
              </w:rPr>
              <w:t xml:space="preserve">la </w:t>
            </w:r>
            <w:r w:rsidRPr="00AD68D6">
              <w:rPr>
                <w:rFonts w:asciiTheme="minorHAnsi" w:hAnsiTheme="minorHAnsi" w:cstheme="minorHAnsi"/>
                <w:sz w:val="16"/>
                <w:szCs w:val="16"/>
              </w:rPr>
              <w:t xml:space="preserve">hoja de ruta </w:t>
            </w:r>
            <w:r w:rsidRPr="00170115">
              <w:rPr>
                <w:rFonts w:asciiTheme="minorHAnsi" w:hAnsiTheme="minorHAnsi" w:cstheme="minorHAnsi"/>
                <w:sz w:val="16"/>
                <w:szCs w:val="16"/>
              </w:rPr>
              <w:t xml:space="preserve">de rendimientos Sostenibles </w:t>
            </w:r>
            <w:r>
              <w:rPr>
                <w:rFonts w:asciiTheme="minorHAnsi" w:hAnsiTheme="minorHAnsi" w:cstheme="minorHAnsi"/>
                <w:sz w:val="16"/>
                <w:szCs w:val="16"/>
              </w:rPr>
              <w:t xml:space="preserve">e Inclusivos </w:t>
            </w:r>
            <w:r w:rsidRPr="00170115">
              <w:rPr>
                <w:rFonts w:asciiTheme="minorHAnsi" w:hAnsiTheme="minorHAnsi" w:cstheme="minorHAnsi"/>
                <w:sz w:val="16"/>
                <w:szCs w:val="16"/>
              </w:rPr>
              <w:t>en Fincas de Cacao</w:t>
            </w:r>
            <w:r>
              <w:rPr>
                <w:rFonts w:asciiTheme="minorHAnsi" w:hAnsiTheme="minorHAnsi" w:cstheme="minorHAnsi"/>
                <w:sz w:val="16"/>
                <w:szCs w:val="16"/>
              </w:rPr>
              <w:t xml:space="preserve">, garantizando que incorpore el enfoque de paisaje y se transversalice el enfoque de género, esta hoja de ruta fue aprobada </w:t>
            </w:r>
            <w:r w:rsidRPr="00AD68D6">
              <w:rPr>
                <w:rFonts w:asciiTheme="minorHAnsi" w:hAnsiTheme="minorHAnsi" w:cstheme="minorHAnsi"/>
                <w:sz w:val="16"/>
                <w:szCs w:val="16"/>
              </w:rPr>
              <w:t xml:space="preserve">por resolución </w:t>
            </w:r>
            <w:r>
              <w:rPr>
                <w:rFonts w:asciiTheme="minorHAnsi" w:hAnsiTheme="minorHAnsi" w:cstheme="minorHAnsi"/>
                <w:sz w:val="16"/>
                <w:szCs w:val="16"/>
              </w:rPr>
              <w:t xml:space="preserve">directoral </w:t>
            </w:r>
            <w:r w:rsidRPr="00AD68D6">
              <w:rPr>
                <w:rFonts w:asciiTheme="minorHAnsi" w:hAnsiTheme="minorHAnsi" w:cstheme="minorHAnsi"/>
                <w:sz w:val="16"/>
                <w:szCs w:val="16"/>
              </w:rPr>
              <w:t>regional</w:t>
            </w:r>
            <w:r>
              <w:rPr>
                <w:rFonts w:asciiTheme="minorHAnsi" w:hAnsiTheme="minorHAnsi" w:cstheme="minorHAnsi"/>
                <w:sz w:val="16"/>
                <w:szCs w:val="16"/>
              </w:rPr>
              <w:t xml:space="preserve"> N°434-2025.  </w:t>
            </w:r>
          </w:p>
          <w:p w14:paraId="43742AF2" w14:textId="77777777" w:rsidR="00167159" w:rsidRPr="00167159" w:rsidRDefault="00167159" w:rsidP="00167159">
            <w:pPr>
              <w:pStyle w:val="Prrafodelista"/>
              <w:tabs>
                <w:tab w:val="left" w:pos="4680"/>
              </w:tabs>
              <w:ind w:left="360"/>
              <w:rPr>
                <w:rFonts w:asciiTheme="minorHAnsi" w:hAnsiTheme="minorHAnsi" w:cstheme="minorHAnsi"/>
                <w:sz w:val="16"/>
                <w:szCs w:val="16"/>
              </w:rPr>
            </w:pPr>
          </w:p>
          <w:p w14:paraId="66A089E4" w14:textId="6BBAD243" w:rsidR="00167159" w:rsidRPr="00B03546" w:rsidRDefault="007575DE" w:rsidP="00B22784">
            <w:pPr>
              <w:pStyle w:val="Prrafodelista"/>
              <w:numPr>
                <w:ilvl w:val="0"/>
                <w:numId w:val="44"/>
              </w:numPr>
              <w:tabs>
                <w:tab w:val="left" w:pos="4680"/>
              </w:tabs>
              <w:ind w:hanging="189"/>
              <w:rPr>
                <w:rFonts w:asciiTheme="minorHAnsi" w:hAnsiTheme="minorHAnsi" w:cstheme="minorHAnsi"/>
                <w:sz w:val="16"/>
                <w:szCs w:val="16"/>
              </w:rPr>
            </w:pPr>
            <w:r w:rsidRPr="00B03546">
              <w:rPr>
                <w:rFonts w:asciiTheme="minorHAnsi" w:hAnsiTheme="minorHAnsi" w:cstheme="minorHAnsi"/>
                <w:sz w:val="16"/>
                <w:szCs w:val="16"/>
              </w:rPr>
              <w:t xml:space="preserve">MTR Café Amazonas: </w:t>
            </w:r>
            <w:r w:rsidR="00AD68D6" w:rsidRPr="00B03546">
              <w:rPr>
                <w:rFonts w:asciiTheme="minorHAnsi" w:hAnsiTheme="minorHAnsi" w:cstheme="minorHAnsi"/>
                <w:sz w:val="16"/>
                <w:szCs w:val="16"/>
              </w:rPr>
              <w:t xml:space="preserve">se </w:t>
            </w:r>
            <w:r w:rsidR="00D8743C" w:rsidRPr="00B03546">
              <w:rPr>
                <w:rFonts w:asciiTheme="minorHAnsi" w:hAnsiTheme="minorHAnsi" w:cstheme="minorHAnsi"/>
                <w:sz w:val="16"/>
                <w:szCs w:val="16"/>
              </w:rPr>
              <w:t xml:space="preserve">promovió la participación de la junta directiva </w:t>
            </w:r>
            <w:r w:rsidR="00B03546" w:rsidRPr="00B03546">
              <w:rPr>
                <w:rFonts w:asciiTheme="minorHAnsi" w:hAnsiTheme="minorHAnsi" w:cstheme="minorHAnsi"/>
                <w:sz w:val="16"/>
                <w:szCs w:val="16"/>
              </w:rPr>
              <w:t xml:space="preserve">de la mesa </w:t>
            </w:r>
            <w:r w:rsidR="00D8743C" w:rsidRPr="00B03546">
              <w:rPr>
                <w:rFonts w:asciiTheme="minorHAnsi" w:hAnsiTheme="minorHAnsi" w:cstheme="minorHAnsi"/>
                <w:sz w:val="16"/>
                <w:szCs w:val="16"/>
              </w:rPr>
              <w:t>en el taller de capacitación sobre la normatividad EUDR que organizó el GORE Amazonas. Además, se viene brindando asistencia técnica en postcosecha de cafés especiales.</w:t>
            </w:r>
          </w:p>
          <w:p w14:paraId="1AC65841" w14:textId="77777777" w:rsidR="00167159" w:rsidRPr="00167159" w:rsidRDefault="00167159" w:rsidP="00167159">
            <w:pPr>
              <w:pStyle w:val="Prrafodelista"/>
              <w:tabs>
                <w:tab w:val="left" w:pos="4680"/>
              </w:tabs>
              <w:ind w:left="360"/>
              <w:rPr>
                <w:rFonts w:asciiTheme="minorHAnsi" w:hAnsiTheme="minorHAnsi" w:cstheme="minorHAnsi"/>
                <w:sz w:val="16"/>
                <w:szCs w:val="16"/>
              </w:rPr>
            </w:pPr>
          </w:p>
          <w:p w14:paraId="493DECEA" w14:textId="6F725CE6" w:rsidR="007575DE" w:rsidRDefault="007575DE" w:rsidP="00167159">
            <w:pPr>
              <w:pStyle w:val="Prrafodelista"/>
              <w:numPr>
                <w:ilvl w:val="0"/>
                <w:numId w:val="44"/>
              </w:numPr>
              <w:tabs>
                <w:tab w:val="left" w:pos="4680"/>
              </w:tabs>
              <w:ind w:hanging="189"/>
              <w:rPr>
                <w:rFonts w:asciiTheme="minorHAnsi" w:hAnsiTheme="minorHAnsi" w:cstheme="minorHAnsi"/>
                <w:sz w:val="16"/>
                <w:szCs w:val="16"/>
              </w:rPr>
            </w:pPr>
            <w:r w:rsidRPr="00AD68D6">
              <w:rPr>
                <w:rFonts w:asciiTheme="minorHAnsi" w:hAnsiTheme="minorHAnsi" w:cstheme="minorHAnsi"/>
                <w:sz w:val="16"/>
                <w:szCs w:val="16"/>
              </w:rPr>
              <w:t xml:space="preserve">MT Cacao Amazonas: </w:t>
            </w:r>
            <w:r w:rsidR="00167159">
              <w:rPr>
                <w:rFonts w:asciiTheme="minorHAnsi" w:hAnsiTheme="minorHAnsi" w:cstheme="minorHAnsi"/>
                <w:sz w:val="16"/>
                <w:szCs w:val="16"/>
              </w:rPr>
              <w:t>En coordinación con MINCETUR se llevó a cabo la c</w:t>
            </w:r>
            <w:r w:rsidRPr="00AD68D6">
              <w:rPr>
                <w:rFonts w:asciiTheme="minorHAnsi" w:hAnsiTheme="minorHAnsi" w:cstheme="minorHAnsi"/>
                <w:sz w:val="16"/>
                <w:szCs w:val="16"/>
              </w:rPr>
              <w:t>apacitación en catación</w:t>
            </w:r>
            <w:r w:rsidR="00D8743C">
              <w:rPr>
                <w:rFonts w:asciiTheme="minorHAnsi" w:hAnsiTheme="minorHAnsi" w:cstheme="minorHAnsi"/>
                <w:sz w:val="16"/>
                <w:szCs w:val="16"/>
              </w:rPr>
              <w:t xml:space="preserve"> de cacao</w:t>
            </w:r>
            <w:r w:rsidR="00167159">
              <w:rPr>
                <w:rFonts w:asciiTheme="minorHAnsi" w:hAnsiTheme="minorHAnsi" w:cstheme="minorHAnsi"/>
                <w:sz w:val="16"/>
                <w:szCs w:val="16"/>
              </w:rPr>
              <w:t xml:space="preserve"> dirigida a especialistas </w:t>
            </w:r>
            <w:r w:rsidR="00167159">
              <w:rPr>
                <w:rFonts w:asciiTheme="minorHAnsi" w:hAnsiTheme="minorHAnsi" w:cstheme="minorHAnsi"/>
                <w:sz w:val="16"/>
                <w:szCs w:val="16"/>
              </w:rPr>
              <w:lastRenderedPageBreak/>
              <w:t>de calidad e hijos de socios de organizaciones de productores para obtener el nivel básico de catador.</w:t>
            </w:r>
          </w:p>
          <w:p w14:paraId="59AE3090" w14:textId="77777777" w:rsidR="00167159" w:rsidRPr="00AD68D6" w:rsidRDefault="00167159" w:rsidP="00167159">
            <w:pPr>
              <w:pStyle w:val="Prrafodelista"/>
              <w:tabs>
                <w:tab w:val="left" w:pos="4680"/>
              </w:tabs>
              <w:ind w:left="360"/>
              <w:rPr>
                <w:rFonts w:asciiTheme="minorHAnsi" w:hAnsiTheme="minorHAnsi" w:cstheme="minorHAnsi"/>
                <w:sz w:val="16"/>
                <w:szCs w:val="16"/>
              </w:rPr>
            </w:pPr>
          </w:p>
          <w:p w14:paraId="6824B196" w14:textId="3F1CC664" w:rsidR="00167159" w:rsidRDefault="007575DE" w:rsidP="00167159">
            <w:pPr>
              <w:pStyle w:val="Prrafodelista"/>
              <w:numPr>
                <w:ilvl w:val="0"/>
                <w:numId w:val="44"/>
              </w:numPr>
              <w:tabs>
                <w:tab w:val="left" w:pos="4680"/>
              </w:tabs>
              <w:ind w:hanging="189"/>
              <w:rPr>
                <w:rFonts w:asciiTheme="minorHAnsi" w:hAnsiTheme="minorHAnsi" w:cstheme="minorHAnsi"/>
                <w:sz w:val="16"/>
                <w:szCs w:val="16"/>
              </w:rPr>
            </w:pPr>
            <w:r w:rsidRPr="00AD68D6">
              <w:rPr>
                <w:rFonts w:asciiTheme="minorHAnsi" w:hAnsiTheme="minorHAnsi" w:cstheme="minorHAnsi"/>
                <w:sz w:val="16"/>
                <w:szCs w:val="16"/>
              </w:rPr>
              <w:t xml:space="preserve">MTR Café San Martín: </w:t>
            </w:r>
            <w:r w:rsidR="00D8743C">
              <w:rPr>
                <w:rFonts w:asciiTheme="minorHAnsi" w:hAnsiTheme="minorHAnsi" w:cstheme="minorHAnsi"/>
                <w:sz w:val="16"/>
                <w:szCs w:val="16"/>
              </w:rPr>
              <w:t xml:space="preserve">Se acompañó la elaboración de su plan de trabajo </w:t>
            </w:r>
            <w:r w:rsidR="00167159">
              <w:rPr>
                <w:rFonts w:asciiTheme="minorHAnsi" w:hAnsiTheme="minorHAnsi" w:cstheme="minorHAnsi"/>
                <w:sz w:val="16"/>
                <w:szCs w:val="16"/>
              </w:rPr>
              <w:t xml:space="preserve">2026 </w:t>
            </w:r>
            <w:r w:rsidR="00D8743C">
              <w:rPr>
                <w:rFonts w:asciiTheme="minorHAnsi" w:hAnsiTheme="minorHAnsi" w:cstheme="minorHAnsi"/>
                <w:sz w:val="16"/>
                <w:szCs w:val="16"/>
              </w:rPr>
              <w:t>durante la a</w:t>
            </w:r>
            <w:r w:rsidRPr="00AD68D6">
              <w:rPr>
                <w:rFonts w:asciiTheme="minorHAnsi" w:hAnsiTheme="minorHAnsi" w:cstheme="minorHAnsi"/>
                <w:sz w:val="16"/>
                <w:szCs w:val="16"/>
              </w:rPr>
              <w:t>samblea anual realizada</w:t>
            </w:r>
            <w:r w:rsidR="00167159">
              <w:rPr>
                <w:rFonts w:asciiTheme="minorHAnsi" w:hAnsiTheme="minorHAnsi" w:cstheme="minorHAnsi"/>
                <w:sz w:val="16"/>
                <w:szCs w:val="16"/>
              </w:rPr>
              <w:t xml:space="preserve"> en diciembre 2025</w:t>
            </w:r>
            <w:r w:rsidR="00D8743C">
              <w:rPr>
                <w:rFonts w:asciiTheme="minorHAnsi" w:hAnsiTheme="minorHAnsi" w:cstheme="minorHAnsi"/>
                <w:sz w:val="16"/>
                <w:szCs w:val="16"/>
              </w:rPr>
              <w:t>.</w:t>
            </w:r>
          </w:p>
          <w:p w14:paraId="45B6944F" w14:textId="6CD5DC8E" w:rsidR="006759AC" w:rsidRDefault="00D874CA" w:rsidP="00D874CA">
            <w:pPr>
              <w:tabs>
                <w:tab w:val="left" w:pos="4680"/>
              </w:tabs>
              <w:rPr>
                <w:rFonts w:asciiTheme="minorHAnsi" w:hAnsiTheme="minorHAnsi" w:cstheme="minorHAnsi"/>
                <w:sz w:val="16"/>
                <w:szCs w:val="16"/>
              </w:rPr>
            </w:pPr>
            <w:r>
              <w:rPr>
                <w:rFonts w:asciiTheme="minorHAnsi" w:hAnsiTheme="minorHAnsi" w:cstheme="minorHAnsi"/>
                <w:sz w:val="16"/>
                <w:szCs w:val="16"/>
              </w:rPr>
              <w:t xml:space="preserve">Del mismo modo, con </w:t>
            </w:r>
            <w:r w:rsidR="006759AC">
              <w:rPr>
                <w:rFonts w:asciiTheme="minorHAnsi" w:hAnsiTheme="minorHAnsi" w:cstheme="minorHAnsi"/>
                <w:sz w:val="16"/>
                <w:szCs w:val="16"/>
              </w:rPr>
              <w:t>todos estos espacios</w:t>
            </w:r>
            <w:r>
              <w:rPr>
                <w:rFonts w:asciiTheme="minorHAnsi" w:hAnsiTheme="minorHAnsi" w:cstheme="minorHAnsi"/>
                <w:sz w:val="16"/>
                <w:szCs w:val="16"/>
              </w:rPr>
              <w:t xml:space="preserve"> de diálogo se coordinaron las siguientes actividades</w:t>
            </w:r>
            <w:r w:rsidR="00D8743C">
              <w:rPr>
                <w:rFonts w:asciiTheme="minorHAnsi" w:hAnsiTheme="minorHAnsi" w:cstheme="minorHAnsi"/>
                <w:sz w:val="16"/>
                <w:szCs w:val="16"/>
              </w:rPr>
              <w:t xml:space="preserve"> de forma general</w:t>
            </w:r>
            <w:r w:rsidR="006759AC">
              <w:rPr>
                <w:rFonts w:asciiTheme="minorHAnsi" w:hAnsiTheme="minorHAnsi" w:cstheme="minorHAnsi"/>
                <w:sz w:val="16"/>
                <w:szCs w:val="16"/>
              </w:rPr>
              <w:t>:</w:t>
            </w:r>
          </w:p>
          <w:p w14:paraId="57D05D38" w14:textId="0A1A7BAA" w:rsidR="00D874CA" w:rsidRPr="00170115" w:rsidRDefault="006759AC" w:rsidP="00170115">
            <w:pPr>
              <w:pStyle w:val="Prrafodelista"/>
              <w:numPr>
                <w:ilvl w:val="0"/>
                <w:numId w:val="42"/>
              </w:numPr>
              <w:tabs>
                <w:tab w:val="left" w:pos="4680"/>
              </w:tabs>
              <w:ind w:hanging="189"/>
              <w:rPr>
                <w:rFonts w:asciiTheme="minorHAnsi" w:hAnsiTheme="minorHAnsi" w:cstheme="minorHAnsi"/>
                <w:sz w:val="16"/>
                <w:szCs w:val="16"/>
              </w:rPr>
            </w:pPr>
            <w:r w:rsidRPr="00170115">
              <w:rPr>
                <w:rFonts w:asciiTheme="minorHAnsi" w:hAnsiTheme="minorHAnsi" w:cstheme="minorHAnsi"/>
                <w:sz w:val="16"/>
                <w:szCs w:val="16"/>
              </w:rPr>
              <w:t>Apo</w:t>
            </w:r>
            <w:r w:rsidR="00D874CA" w:rsidRPr="00170115">
              <w:rPr>
                <w:rFonts w:asciiTheme="minorHAnsi" w:hAnsiTheme="minorHAnsi" w:cstheme="minorHAnsi"/>
                <w:sz w:val="16"/>
                <w:szCs w:val="16"/>
              </w:rPr>
              <w:t>y</w:t>
            </w:r>
            <w:r w:rsidRPr="00170115">
              <w:rPr>
                <w:rFonts w:asciiTheme="minorHAnsi" w:hAnsiTheme="minorHAnsi" w:cstheme="minorHAnsi"/>
                <w:sz w:val="16"/>
                <w:szCs w:val="16"/>
              </w:rPr>
              <w:t>o para</w:t>
            </w:r>
            <w:r w:rsidR="00D874CA" w:rsidRPr="00170115">
              <w:rPr>
                <w:rFonts w:asciiTheme="minorHAnsi" w:hAnsiTheme="minorHAnsi" w:cstheme="minorHAnsi"/>
                <w:sz w:val="16"/>
                <w:szCs w:val="16"/>
              </w:rPr>
              <w:t xml:space="preserve"> la participación de las organizaciones socias en las oportunidades de articulación comercial, como el salón del cacao y del chocolate, </w:t>
            </w:r>
            <w:r w:rsidR="00CE23E1" w:rsidRPr="00170115">
              <w:rPr>
                <w:rFonts w:asciiTheme="minorHAnsi" w:hAnsiTheme="minorHAnsi" w:cstheme="minorHAnsi"/>
                <w:sz w:val="16"/>
                <w:szCs w:val="16"/>
              </w:rPr>
              <w:t>Expo amazónica</w:t>
            </w:r>
            <w:r w:rsidR="00D874CA" w:rsidRPr="00170115">
              <w:rPr>
                <w:rFonts w:asciiTheme="minorHAnsi" w:hAnsiTheme="minorHAnsi" w:cstheme="minorHAnsi"/>
                <w:sz w:val="16"/>
                <w:szCs w:val="16"/>
              </w:rPr>
              <w:t>, y la FICAFÉ.</w:t>
            </w:r>
          </w:p>
          <w:p w14:paraId="2EB220DB" w14:textId="0E33FA08" w:rsidR="0070447A" w:rsidRPr="00170115" w:rsidRDefault="0070447A" w:rsidP="00170115">
            <w:pPr>
              <w:pStyle w:val="Prrafodelista"/>
              <w:numPr>
                <w:ilvl w:val="0"/>
                <w:numId w:val="42"/>
              </w:numPr>
              <w:tabs>
                <w:tab w:val="left" w:pos="4680"/>
              </w:tabs>
              <w:ind w:hanging="189"/>
              <w:rPr>
                <w:rFonts w:asciiTheme="minorHAnsi" w:hAnsiTheme="minorHAnsi" w:cstheme="minorHAnsi"/>
                <w:sz w:val="16"/>
                <w:szCs w:val="16"/>
              </w:rPr>
            </w:pPr>
            <w:r w:rsidRPr="00170115">
              <w:rPr>
                <w:rFonts w:asciiTheme="minorHAnsi" w:hAnsiTheme="minorHAnsi" w:cstheme="minorHAnsi"/>
                <w:sz w:val="16"/>
                <w:szCs w:val="16"/>
              </w:rPr>
              <w:t xml:space="preserve">Desarrollo </w:t>
            </w:r>
            <w:r w:rsidR="006759AC" w:rsidRPr="00170115">
              <w:rPr>
                <w:rFonts w:asciiTheme="minorHAnsi" w:hAnsiTheme="minorHAnsi" w:cstheme="minorHAnsi"/>
                <w:sz w:val="16"/>
                <w:szCs w:val="16"/>
              </w:rPr>
              <w:t>del Programa de Fortalecimiento de lideresas de café y cacao.</w:t>
            </w:r>
          </w:p>
          <w:p w14:paraId="256355F7" w14:textId="38786D29" w:rsidR="009F602C" w:rsidRPr="00DE692F" w:rsidRDefault="00AB5363" w:rsidP="00E342AF">
            <w:pPr>
              <w:pStyle w:val="Prrafodelista"/>
              <w:numPr>
                <w:ilvl w:val="0"/>
                <w:numId w:val="42"/>
              </w:numPr>
              <w:tabs>
                <w:tab w:val="left" w:pos="4680"/>
              </w:tabs>
              <w:ind w:hanging="189"/>
              <w:rPr>
                <w:rFonts w:asciiTheme="minorHAnsi" w:hAnsiTheme="minorHAnsi" w:cstheme="minorHAnsi"/>
                <w:sz w:val="16"/>
                <w:szCs w:val="16"/>
              </w:rPr>
            </w:pPr>
            <w:r w:rsidRPr="00170115">
              <w:rPr>
                <w:rFonts w:asciiTheme="minorHAnsi" w:hAnsiTheme="minorHAnsi" w:cstheme="minorHAnsi"/>
                <w:sz w:val="16"/>
                <w:szCs w:val="16"/>
              </w:rPr>
              <w:t xml:space="preserve">Inicio </w:t>
            </w:r>
            <w:r w:rsidR="00170115" w:rsidRPr="00170115">
              <w:rPr>
                <w:rFonts w:asciiTheme="minorHAnsi" w:hAnsiTheme="minorHAnsi" w:cstheme="minorHAnsi"/>
                <w:sz w:val="16"/>
                <w:szCs w:val="16"/>
              </w:rPr>
              <w:t>del proceso de fortalecimiento de estatutos con enfoque de género,</w:t>
            </w:r>
            <w:r w:rsidR="00E342AF">
              <w:rPr>
                <w:rFonts w:asciiTheme="minorHAnsi" w:hAnsiTheme="minorHAnsi" w:cstheme="minorHAnsi"/>
                <w:sz w:val="16"/>
                <w:szCs w:val="16"/>
              </w:rPr>
              <w:t xml:space="preserve"> erradicación del trabajo infantil, </w:t>
            </w:r>
            <w:r w:rsidR="00170115" w:rsidRPr="00170115">
              <w:rPr>
                <w:rFonts w:asciiTheme="minorHAnsi" w:hAnsiTheme="minorHAnsi" w:cstheme="minorHAnsi"/>
                <w:sz w:val="16"/>
                <w:szCs w:val="16"/>
              </w:rPr>
              <w:t>interculturalidad</w:t>
            </w:r>
            <w:r w:rsidR="00B03546">
              <w:rPr>
                <w:rFonts w:asciiTheme="minorHAnsi" w:hAnsiTheme="minorHAnsi" w:cstheme="minorHAnsi"/>
                <w:sz w:val="16"/>
                <w:szCs w:val="16"/>
              </w:rPr>
              <w:t>,</w:t>
            </w:r>
            <w:r w:rsidR="00170115" w:rsidRPr="00170115">
              <w:rPr>
                <w:rFonts w:asciiTheme="minorHAnsi" w:hAnsiTheme="minorHAnsi" w:cstheme="minorHAnsi"/>
                <w:sz w:val="16"/>
                <w:szCs w:val="16"/>
              </w:rPr>
              <w:t xml:space="preserve"> intergeneracionalidad </w:t>
            </w:r>
            <w:r w:rsidR="00B03546">
              <w:rPr>
                <w:rFonts w:asciiTheme="minorHAnsi" w:hAnsiTheme="minorHAnsi" w:cstheme="minorHAnsi"/>
                <w:sz w:val="16"/>
                <w:szCs w:val="16"/>
              </w:rPr>
              <w:t xml:space="preserve">y sostenibilidad ambiental </w:t>
            </w:r>
            <w:r w:rsidR="00170115" w:rsidRPr="00170115">
              <w:rPr>
                <w:rFonts w:asciiTheme="minorHAnsi" w:hAnsiTheme="minorHAnsi" w:cstheme="minorHAnsi"/>
                <w:sz w:val="16"/>
                <w:szCs w:val="16"/>
              </w:rPr>
              <w:t>en 10 organizaciones de productores. A la fecha, se logró que la cooperativa ACOPAGRO, creara e incorporara el Comité de la Mujer y Familia como órgano de gobierno en sus estatutos, lo cual contribuye a garantizar la visibilización, representación y participación efectiva de mujeres y jóvenes en la toma de decisiones, promoviendo así una gestión organizacional más equitativa, democrática y sostenible.</w:t>
            </w:r>
          </w:p>
        </w:tc>
        <w:tc>
          <w:tcPr>
            <w:tcW w:w="6520" w:type="dxa"/>
            <w:gridSpan w:val="6"/>
            <w:tcBorders>
              <w:bottom w:val="single" w:sz="4" w:space="0" w:color="auto"/>
            </w:tcBorders>
            <w:vAlign w:val="center"/>
          </w:tcPr>
          <w:p w14:paraId="2952A44C" w14:textId="77777777" w:rsidR="00804A9A" w:rsidRDefault="00E342AF" w:rsidP="005164A9">
            <w:pPr>
              <w:tabs>
                <w:tab w:val="left" w:pos="4680"/>
              </w:tabs>
              <w:rPr>
                <w:rFonts w:asciiTheme="minorHAnsi" w:hAnsiTheme="minorHAnsi" w:cstheme="minorHAnsi"/>
                <w:sz w:val="16"/>
                <w:szCs w:val="16"/>
              </w:rPr>
            </w:pPr>
            <w:r w:rsidRPr="00DE692F">
              <w:rPr>
                <w:rFonts w:asciiTheme="minorHAnsi" w:hAnsiTheme="minorHAnsi" w:cstheme="minorHAnsi"/>
                <w:sz w:val="16"/>
                <w:szCs w:val="16"/>
              </w:rPr>
              <w:lastRenderedPageBreak/>
              <w:t xml:space="preserve">Respecto a la erradicación del trabajo infantil, </w:t>
            </w:r>
            <w:r>
              <w:rPr>
                <w:rFonts w:asciiTheme="minorHAnsi" w:hAnsiTheme="minorHAnsi" w:cstheme="minorHAnsi"/>
                <w:sz w:val="16"/>
                <w:szCs w:val="16"/>
              </w:rPr>
              <w:t xml:space="preserve">se incluyó este tema en la mejora de estatutos, para lo cual fue necesario mantener diversas reuniones con las mesas técnicas y las organizaciones de productores, donde se compartió información actualizada sobre este tema. </w:t>
            </w:r>
          </w:p>
          <w:p w14:paraId="6EE59D99" w14:textId="554CAA7B" w:rsidR="00812E3F" w:rsidRPr="00DE692F" w:rsidRDefault="00E342AF" w:rsidP="0070447A">
            <w:pPr>
              <w:tabs>
                <w:tab w:val="left" w:pos="4680"/>
              </w:tabs>
              <w:rPr>
                <w:rFonts w:asciiTheme="minorHAnsi" w:hAnsiTheme="minorHAnsi" w:cstheme="minorHAnsi"/>
                <w:sz w:val="16"/>
                <w:szCs w:val="16"/>
              </w:rPr>
            </w:pPr>
            <w:r>
              <w:rPr>
                <w:rFonts w:asciiTheme="minorHAnsi" w:hAnsiTheme="minorHAnsi" w:cstheme="minorHAnsi"/>
                <w:sz w:val="16"/>
                <w:szCs w:val="16"/>
              </w:rPr>
              <w:t xml:space="preserve">Asimismo, </w:t>
            </w:r>
            <w:r w:rsidR="00804A9A">
              <w:rPr>
                <w:rFonts w:asciiTheme="minorHAnsi" w:hAnsiTheme="minorHAnsi" w:cstheme="minorHAnsi"/>
                <w:sz w:val="16"/>
                <w:szCs w:val="16"/>
              </w:rPr>
              <w:t xml:space="preserve">el </w:t>
            </w:r>
            <w:r w:rsidR="00804A9A" w:rsidRPr="00804A9A">
              <w:rPr>
                <w:rFonts w:asciiTheme="minorHAnsi" w:hAnsiTheme="minorHAnsi" w:cstheme="minorHAnsi"/>
                <w:sz w:val="16"/>
                <w:szCs w:val="16"/>
              </w:rPr>
              <w:t>fortalecimiento de los actores de las cadenas de café y cacao en erradicación del trabajo infantil ha enfrentado limitaciones debido a la necesidad de reorientar la estrategia inicialmente prevista</w:t>
            </w:r>
            <w:r w:rsidR="00804A9A">
              <w:rPr>
                <w:rFonts w:asciiTheme="minorHAnsi" w:hAnsiTheme="minorHAnsi" w:cstheme="minorHAnsi"/>
                <w:sz w:val="16"/>
                <w:szCs w:val="16"/>
              </w:rPr>
              <w:t xml:space="preserve">. Puesto que, durante </w:t>
            </w:r>
            <w:r w:rsidR="00804A9A" w:rsidRPr="00812E3F">
              <w:rPr>
                <w:rFonts w:asciiTheme="minorHAnsi" w:hAnsiTheme="minorHAnsi" w:cstheme="minorHAnsi"/>
                <w:sz w:val="16"/>
                <w:szCs w:val="16"/>
              </w:rPr>
              <w:t xml:space="preserve">el proceso se identificó resistencia por parte de algunos actores, lo que evidenció la importancia de contar, de manera previa, con información objetiva y contextualizada sobre la situación del trabajo infantil en estas cadenas. En ese sentido, </w:t>
            </w:r>
            <w:r w:rsidR="00804A9A">
              <w:rPr>
                <w:rFonts w:asciiTheme="minorHAnsi" w:hAnsiTheme="minorHAnsi" w:cstheme="minorHAnsi"/>
                <w:sz w:val="16"/>
                <w:szCs w:val="16"/>
              </w:rPr>
              <w:t>se priorizó la elaboración de un estudio sobre trabajo infantil, el cual se encuentra actualmente en convocatoria, y se reprogramaron las capacitaciones que complementarán las medidas preventivas que se vienen tomando sobre este tema, como las inducciones y reuniones de trabajo.</w:t>
            </w:r>
          </w:p>
        </w:tc>
      </w:tr>
      <w:tr w:rsidR="0070447A" w:rsidRPr="00DE692F" w14:paraId="1D8684D7" w14:textId="77777777" w:rsidTr="005B7DD9">
        <w:trPr>
          <w:trHeight w:val="1190"/>
        </w:trPr>
        <w:tc>
          <w:tcPr>
            <w:tcW w:w="1702" w:type="dxa"/>
            <w:tcBorders>
              <w:bottom w:val="single" w:sz="4" w:space="0" w:color="auto"/>
            </w:tcBorders>
            <w:shd w:val="clear" w:color="auto" w:fill="D0CECE" w:themeFill="background2" w:themeFillShade="E6"/>
            <w:vAlign w:val="center"/>
          </w:tcPr>
          <w:p w14:paraId="05D0F7C5" w14:textId="4CE8119E" w:rsidR="0070447A" w:rsidRPr="00DE692F" w:rsidRDefault="0070447A" w:rsidP="0070447A">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2.1.3</w:t>
            </w:r>
          </w:p>
        </w:tc>
        <w:tc>
          <w:tcPr>
            <w:tcW w:w="2400" w:type="dxa"/>
            <w:tcBorders>
              <w:bottom w:val="single" w:sz="4" w:space="0" w:color="auto"/>
            </w:tcBorders>
            <w:shd w:val="clear" w:color="auto" w:fill="D0CECE" w:themeFill="background2" w:themeFillShade="E6"/>
            <w:vAlign w:val="center"/>
          </w:tcPr>
          <w:p w14:paraId="3CBDEB0D"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CEF2B30"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5E58A5A1"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9D6FF7D"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18140467"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52F99A6A"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CA5BAC9"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0CFB888A"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28B1CF9B"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8762CFF"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8A91B9C"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A951BDF"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155AF894" w14:textId="77777777" w:rsidR="0070447A" w:rsidRPr="00DE692F" w:rsidRDefault="0070447A" w:rsidP="0070447A">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5DFF12F1" w14:textId="77777777" w:rsidR="0070447A" w:rsidRPr="00DE692F" w:rsidRDefault="0070447A" w:rsidP="0070447A">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A44897" w:rsidRPr="00DE692F" w14:paraId="48A08A1E" w14:textId="77777777" w:rsidTr="005B7DD9">
        <w:trPr>
          <w:trHeight w:val="688"/>
        </w:trPr>
        <w:tc>
          <w:tcPr>
            <w:tcW w:w="1702" w:type="dxa"/>
            <w:vAlign w:val="center"/>
          </w:tcPr>
          <w:p w14:paraId="4CA2E50D" w14:textId="7F9299F0" w:rsidR="00A44897" w:rsidRPr="00DE692F" w:rsidRDefault="00A44897" w:rsidP="00A44897">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Empresas privadas, como compradores de commodities, apoyan el desarrollo de prácticas inclusivas y sostenibles mediante acciones como la prestación de asistencia técnica y la mejora de la trazabilidad en las cadenas de valor</w:t>
            </w:r>
          </w:p>
        </w:tc>
        <w:tc>
          <w:tcPr>
            <w:tcW w:w="2400" w:type="dxa"/>
            <w:vAlign w:val="center"/>
          </w:tcPr>
          <w:p w14:paraId="2039FF5D" w14:textId="09EE6643" w:rsidR="00A44897" w:rsidRPr="00DE692F" w:rsidRDefault="0059756F" w:rsidP="00A44897">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6C064BE1" w14:textId="1097B261" w:rsidR="00A44897" w:rsidRPr="00DE692F" w:rsidRDefault="00A44897" w:rsidP="00A44897">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4899E050" w14:textId="39CDC48A" w:rsidR="00A44897" w:rsidRPr="00DE692F" w:rsidRDefault="0059756F" w:rsidP="00A44897">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523F345A" w14:textId="2A74D2D0" w:rsidR="00A44897" w:rsidRPr="00DE692F" w:rsidRDefault="00A44897" w:rsidP="00A44897">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5DC851FC" w14:textId="250735E6" w:rsidR="00A44897" w:rsidRPr="00DE692F" w:rsidRDefault="0059756F" w:rsidP="00A44897">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68FE22F6" w14:textId="0467AA52" w:rsidR="00A44897" w:rsidRPr="00DE692F" w:rsidRDefault="00A44897" w:rsidP="00A44897">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78901F37" w14:textId="7D4EBD7C" w:rsidR="00A44897" w:rsidRPr="00DE692F" w:rsidRDefault="00A44897" w:rsidP="00A44897">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4C0A77BE" w14:textId="29CA3473" w:rsidR="00A44897" w:rsidRPr="00DE692F" w:rsidRDefault="00A44897" w:rsidP="00A44897">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r>
      <w:tr w:rsidR="00A44897" w:rsidRPr="00DE692F" w14:paraId="03C269DD" w14:textId="77777777" w:rsidTr="005B7DD9">
        <w:trPr>
          <w:trHeight w:val="176"/>
        </w:trPr>
        <w:tc>
          <w:tcPr>
            <w:tcW w:w="11482" w:type="dxa"/>
            <w:gridSpan w:val="9"/>
            <w:shd w:val="clear" w:color="auto" w:fill="D0CECE" w:themeFill="background2" w:themeFillShade="E6"/>
            <w:vAlign w:val="center"/>
          </w:tcPr>
          <w:p w14:paraId="51DF6F6C" w14:textId="77777777" w:rsidR="00A44897" w:rsidRPr="00DE692F" w:rsidRDefault="00A44897" w:rsidP="00A44897">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A44897" w:rsidRPr="00DE692F" w14:paraId="676A8547" w14:textId="77777777" w:rsidTr="005B7DD9">
        <w:trPr>
          <w:trHeight w:val="294"/>
        </w:trPr>
        <w:tc>
          <w:tcPr>
            <w:tcW w:w="1702" w:type="dxa"/>
            <w:vAlign w:val="center"/>
          </w:tcPr>
          <w:p w14:paraId="5463FEC7" w14:textId="4331866E" w:rsidR="00A44897" w:rsidRPr="00DE692F" w:rsidRDefault="00A44897" w:rsidP="00A44897">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2.1.3.1</w:t>
            </w:r>
          </w:p>
        </w:tc>
        <w:tc>
          <w:tcPr>
            <w:tcW w:w="9780" w:type="dxa"/>
            <w:gridSpan w:val="8"/>
            <w:vAlign w:val="center"/>
          </w:tcPr>
          <w:p w14:paraId="1B31FAAD" w14:textId="5CF55D07" w:rsidR="00A44897" w:rsidRPr="00DE692F" w:rsidRDefault="00A44897" w:rsidP="00A44897">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Acuerdos de colaboración con los principales compradores de CLD para fortalecer desde la inversión privada a los actores de las cadenas de valor de café y cacao y reducir brechas existentes</w:t>
            </w:r>
          </w:p>
        </w:tc>
      </w:tr>
      <w:tr w:rsidR="00A44897" w:rsidRPr="00DE692F" w14:paraId="6A2FE3A9" w14:textId="77777777" w:rsidTr="005B7DD9">
        <w:trPr>
          <w:trHeight w:val="688"/>
        </w:trPr>
        <w:tc>
          <w:tcPr>
            <w:tcW w:w="4962" w:type="dxa"/>
            <w:gridSpan w:val="3"/>
            <w:tcBorders>
              <w:bottom w:val="single" w:sz="4" w:space="0" w:color="auto"/>
            </w:tcBorders>
            <w:vAlign w:val="center"/>
          </w:tcPr>
          <w:p w14:paraId="5F32BF7F" w14:textId="15DB7DF6" w:rsidR="00A44897" w:rsidRPr="00DE692F" w:rsidRDefault="0059756F" w:rsidP="0059756F">
            <w:pPr>
              <w:tabs>
                <w:tab w:val="left" w:pos="4680"/>
              </w:tabs>
              <w:rPr>
                <w:rFonts w:asciiTheme="minorHAnsi" w:hAnsiTheme="minorHAnsi" w:cstheme="minorHAnsi"/>
                <w:sz w:val="16"/>
                <w:szCs w:val="16"/>
              </w:rPr>
            </w:pPr>
            <w:r w:rsidRPr="00C14FF7">
              <w:rPr>
                <w:rFonts w:asciiTheme="minorHAnsi" w:hAnsiTheme="minorHAnsi" w:cstheme="minorHAnsi"/>
                <w:sz w:val="16"/>
                <w:szCs w:val="16"/>
              </w:rPr>
              <w:t>Durante el 2025, se realizaron reuniones con la empresa ECOM,</w:t>
            </w:r>
            <w:r>
              <w:rPr>
                <w:rFonts w:asciiTheme="minorHAnsi" w:hAnsiTheme="minorHAnsi" w:cstheme="minorHAnsi"/>
                <w:sz w:val="16"/>
                <w:szCs w:val="16"/>
              </w:rPr>
              <w:t xml:space="preserve"> exportadora,</w:t>
            </w:r>
            <w:r w:rsidRPr="00C14FF7">
              <w:rPr>
                <w:rFonts w:asciiTheme="minorHAnsi" w:hAnsiTheme="minorHAnsi" w:cstheme="minorHAnsi"/>
                <w:sz w:val="16"/>
                <w:szCs w:val="16"/>
              </w:rPr>
              <w:t xml:space="preserve"> con la finalidad de</w:t>
            </w:r>
            <w:r>
              <w:rPr>
                <w:rFonts w:asciiTheme="minorHAnsi" w:hAnsiTheme="minorHAnsi" w:cstheme="minorHAnsi"/>
                <w:sz w:val="16"/>
                <w:szCs w:val="16"/>
              </w:rPr>
              <w:t xml:space="preserve"> encontrar sinergias que permitan beneficiar a los productores que le abastecen, los cuales son productores independientes. Sin embargo, no ha sido posible concretar acuerdos.</w:t>
            </w:r>
          </w:p>
        </w:tc>
        <w:tc>
          <w:tcPr>
            <w:tcW w:w="6520" w:type="dxa"/>
            <w:gridSpan w:val="6"/>
            <w:tcBorders>
              <w:bottom w:val="single" w:sz="4" w:space="0" w:color="auto"/>
            </w:tcBorders>
            <w:vAlign w:val="center"/>
          </w:tcPr>
          <w:p w14:paraId="52A288C3" w14:textId="77777777" w:rsidR="00A44897" w:rsidRDefault="0059756F" w:rsidP="0059756F">
            <w:pPr>
              <w:tabs>
                <w:tab w:val="left" w:pos="4680"/>
              </w:tabs>
              <w:rPr>
                <w:rFonts w:asciiTheme="minorHAnsi" w:hAnsiTheme="minorHAnsi" w:cstheme="minorHAnsi"/>
                <w:sz w:val="16"/>
                <w:szCs w:val="16"/>
              </w:rPr>
            </w:pPr>
            <w:r>
              <w:rPr>
                <w:rFonts w:asciiTheme="minorHAnsi" w:hAnsiTheme="minorHAnsi" w:cstheme="minorHAnsi"/>
                <w:sz w:val="16"/>
                <w:szCs w:val="16"/>
              </w:rPr>
              <w:t xml:space="preserve">La principal dificultad encontrada ha sido el bajo interés de los compradores por desarrollar una propuesta conjunta para fortalecer a los productores mediante acuerdos de colaboración. </w:t>
            </w:r>
          </w:p>
          <w:p w14:paraId="38E9535D" w14:textId="2727A210" w:rsidR="0059756F" w:rsidRPr="00DE692F" w:rsidRDefault="0059756F" w:rsidP="0059756F">
            <w:pPr>
              <w:tabs>
                <w:tab w:val="left" w:pos="4680"/>
              </w:tabs>
              <w:rPr>
                <w:rFonts w:asciiTheme="minorHAnsi" w:hAnsiTheme="minorHAnsi" w:cstheme="minorHAnsi"/>
                <w:sz w:val="16"/>
                <w:szCs w:val="16"/>
              </w:rPr>
            </w:pPr>
            <w:r>
              <w:rPr>
                <w:rFonts w:asciiTheme="minorHAnsi" w:hAnsiTheme="minorHAnsi" w:cstheme="minorHAnsi"/>
                <w:sz w:val="16"/>
                <w:szCs w:val="16"/>
              </w:rPr>
              <w:t>Por ello, para el 2026, se prevé elaborar e implementar una estrategia de comercialización y articulación con compradores, los cuales deberán incluir acuerdos para fortalecer buenas prácticas en los productores.</w:t>
            </w:r>
          </w:p>
        </w:tc>
      </w:tr>
      <w:tr w:rsidR="00A44897" w:rsidRPr="00DE692F" w14:paraId="0BD03489" w14:textId="77777777" w:rsidTr="005B7DD9">
        <w:trPr>
          <w:trHeight w:val="1190"/>
        </w:trPr>
        <w:tc>
          <w:tcPr>
            <w:tcW w:w="1702" w:type="dxa"/>
            <w:tcBorders>
              <w:bottom w:val="single" w:sz="4" w:space="0" w:color="auto"/>
            </w:tcBorders>
            <w:shd w:val="clear" w:color="auto" w:fill="D0CECE" w:themeFill="background2" w:themeFillShade="E6"/>
            <w:vAlign w:val="center"/>
          </w:tcPr>
          <w:p w14:paraId="4A3DB22B" w14:textId="4AC54735" w:rsidR="00A44897" w:rsidRPr="00DE692F" w:rsidRDefault="00A44897" w:rsidP="00A44897">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2.1.4</w:t>
            </w:r>
          </w:p>
        </w:tc>
        <w:tc>
          <w:tcPr>
            <w:tcW w:w="2400" w:type="dxa"/>
            <w:tcBorders>
              <w:bottom w:val="single" w:sz="4" w:space="0" w:color="auto"/>
            </w:tcBorders>
            <w:shd w:val="clear" w:color="auto" w:fill="D0CECE" w:themeFill="background2" w:themeFillShade="E6"/>
            <w:vAlign w:val="center"/>
          </w:tcPr>
          <w:p w14:paraId="3BE90B6A"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7667BBA5" w14:textId="70D35B5A" w:rsidR="00A44897" w:rsidRPr="00DE692F" w:rsidRDefault="00C14FF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A44897"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0496967E"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0180278"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54236CE4"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6E15429D"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0A96E6E"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3EFE534B"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DCE3C36"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2BE8C6E6"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1C2332E2"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D63CCF7"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8BAD06F" w14:textId="77777777" w:rsidR="00A44897" w:rsidRPr="00DE692F" w:rsidRDefault="00A44897" w:rsidP="00A44897">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41DB0EB6" w14:textId="77777777" w:rsidR="00A44897" w:rsidRPr="00DE692F" w:rsidRDefault="00A44897" w:rsidP="00A44897">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CD6B74" w:rsidRPr="00DE692F" w14:paraId="1BE96036" w14:textId="77777777" w:rsidTr="005B7DD9">
        <w:trPr>
          <w:trHeight w:val="688"/>
        </w:trPr>
        <w:tc>
          <w:tcPr>
            <w:tcW w:w="1702" w:type="dxa"/>
            <w:vAlign w:val="center"/>
          </w:tcPr>
          <w:p w14:paraId="4D7C2C22" w14:textId="2756290C" w:rsidR="00CD6B74" w:rsidRPr="00DE692F" w:rsidRDefault="00CD6B74" w:rsidP="00CD6B74">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Sistema de monitoreo y evaluación establecido para </w:t>
            </w:r>
            <w:r w:rsidRPr="00DE692F">
              <w:rPr>
                <w:rFonts w:asciiTheme="minorHAnsi" w:eastAsiaTheme="minorEastAsia" w:hAnsiTheme="minorHAnsi" w:cstheme="minorHAnsi"/>
                <w:sz w:val="16"/>
                <w:szCs w:val="16"/>
              </w:rPr>
              <w:lastRenderedPageBreak/>
              <w:t>monitorear las cadenas de abastecimiento, complementado con programas de capacitación para mejorar la trazabilidad jurisdiccional y la trazabilidad de la cadena de valor (por ejemplo, mediante la incorporación de sistemas blockchain)</w:t>
            </w:r>
          </w:p>
        </w:tc>
        <w:tc>
          <w:tcPr>
            <w:tcW w:w="2400" w:type="dxa"/>
            <w:vAlign w:val="center"/>
          </w:tcPr>
          <w:p w14:paraId="2FB5EF51" w14:textId="6DF442B4" w:rsidR="00CD6B74" w:rsidRPr="00DE692F" w:rsidRDefault="0059756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71AABD88" w14:textId="07DB78E3"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3E35F2B5" w14:textId="4A60F698" w:rsidR="00CD6B74" w:rsidRPr="00DE692F" w:rsidRDefault="0059756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36ACDD99" w14:textId="757B8B4C" w:rsidR="00CD6B74" w:rsidRPr="00DE692F" w:rsidRDefault="0059756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20BE1A3D" w14:textId="491B37CC" w:rsidR="00CD6B74" w:rsidRPr="00DE692F" w:rsidRDefault="0059756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38015FF7" w14:textId="1EC840AF"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27CB5D59" w14:textId="32080AFD" w:rsidR="00CD6B74" w:rsidRPr="00DE692F" w:rsidRDefault="0059756F" w:rsidP="0059756F">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3FC8F846" w14:textId="2FDF6685" w:rsidR="00CD6B74" w:rsidRPr="00DE692F" w:rsidRDefault="00084119"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15</w:t>
            </w:r>
            <w:r w:rsidR="006C1002">
              <w:rPr>
                <w:rStyle w:val="Refdenotaalpie"/>
                <w:rFonts w:eastAsiaTheme="minorEastAsia" w:cstheme="minorHAnsi"/>
                <w:szCs w:val="16"/>
              </w:rPr>
              <w:footnoteReference w:id="20"/>
            </w:r>
            <w:r w:rsidR="00CD6B74" w:rsidRPr="00DE692F">
              <w:rPr>
                <w:rFonts w:asciiTheme="minorHAnsi" w:eastAsiaTheme="minorEastAsia" w:hAnsiTheme="minorHAnsi" w:cstheme="minorHAnsi"/>
                <w:sz w:val="16"/>
                <w:szCs w:val="16"/>
              </w:rPr>
              <w:t>%</w:t>
            </w:r>
          </w:p>
        </w:tc>
      </w:tr>
      <w:tr w:rsidR="00CD6B74" w:rsidRPr="00DE692F" w14:paraId="5F74B706" w14:textId="77777777" w:rsidTr="005B7DD9">
        <w:trPr>
          <w:trHeight w:val="176"/>
        </w:trPr>
        <w:tc>
          <w:tcPr>
            <w:tcW w:w="11482" w:type="dxa"/>
            <w:gridSpan w:val="9"/>
            <w:shd w:val="clear" w:color="auto" w:fill="D0CECE" w:themeFill="background2" w:themeFillShade="E6"/>
            <w:vAlign w:val="center"/>
          </w:tcPr>
          <w:p w14:paraId="631CB5BB" w14:textId="77777777" w:rsidR="00CD6B74" w:rsidRPr="00DE692F" w:rsidRDefault="00CD6B74" w:rsidP="00CD6B74">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CD6B74" w:rsidRPr="00DE692F" w14:paraId="6FCA1BB0" w14:textId="77777777" w:rsidTr="005B7DD9">
        <w:trPr>
          <w:trHeight w:val="294"/>
        </w:trPr>
        <w:tc>
          <w:tcPr>
            <w:tcW w:w="1702" w:type="dxa"/>
            <w:vAlign w:val="center"/>
          </w:tcPr>
          <w:p w14:paraId="1B9E5732" w14:textId="520FA34D"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2.1.4.1</w:t>
            </w:r>
          </w:p>
        </w:tc>
        <w:tc>
          <w:tcPr>
            <w:tcW w:w="9780" w:type="dxa"/>
            <w:gridSpan w:val="8"/>
            <w:vAlign w:val="center"/>
          </w:tcPr>
          <w:p w14:paraId="2483CFDD" w14:textId="2B47F821"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Viabilidad y diseño de un sistema de trazabilidad para cada commodity</w:t>
            </w:r>
          </w:p>
        </w:tc>
      </w:tr>
      <w:tr w:rsidR="00CD6B74" w:rsidRPr="00DE692F" w14:paraId="57779B5D" w14:textId="77777777" w:rsidTr="005B7DD9">
        <w:trPr>
          <w:trHeight w:val="688"/>
        </w:trPr>
        <w:tc>
          <w:tcPr>
            <w:tcW w:w="4962" w:type="dxa"/>
            <w:gridSpan w:val="3"/>
            <w:tcBorders>
              <w:bottom w:val="single" w:sz="4" w:space="0" w:color="auto"/>
            </w:tcBorders>
            <w:vAlign w:val="center"/>
          </w:tcPr>
          <w:p w14:paraId="4964ADEE" w14:textId="77777777" w:rsidR="00CD6B74" w:rsidRPr="00DE692F" w:rsidRDefault="00CD6B74" w:rsidP="00CD6B74">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6E40C9DA" w14:textId="24D69772" w:rsidR="0046385A" w:rsidRDefault="0046385A" w:rsidP="005869D8">
            <w:pPr>
              <w:tabs>
                <w:tab w:val="left" w:pos="4680"/>
              </w:tabs>
              <w:rPr>
                <w:rFonts w:asciiTheme="minorHAnsi" w:hAnsiTheme="minorHAnsi" w:cstheme="minorHAnsi"/>
                <w:sz w:val="16"/>
                <w:szCs w:val="16"/>
              </w:rPr>
            </w:pPr>
            <w:r>
              <w:rPr>
                <w:rFonts w:asciiTheme="minorHAnsi" w:hAnsiTheme="minorHAnsi" w:cstheme="minorHAnsi"/>
                <w:sz w:val="16"/>
                <w:szCs w:val="16"/>
              </w:rPr>
              <w:t xml:space="preserve">Se inició el apoyo a dos </w:t>
            </w:r>
            <w:r w:rsidRPr="0046385A">
              <w:rPr>
                <w:rFonts w:asciiTheme="minorHAnsi" w:hAnsiTheme="minorHAnsi" w:cstheme="minorHAnsi"/>
                <w:sz w:val="16"/>
                <w:szCs w:val="16"/>
              </w:rPr>
              <w:t>cooperativas</w:t>
            </w:r>
            <w:r>
              <w:rPr>
                <w:rFonts w:asciiTheme="minorHAnsi" w:hAnsiTheme="minorHAnsi" w:cstheme="minorHAnsi"/>
                <w:sz w:val="16"/>
                <w:szCs w:val="16"/>
              </w:rPr>
              <w:t xml:space="preserve">, socias de la Plataforma Multiactor del café de Cajamarca, </w:t>
            </w:r>
            <w:r w:rsidRPr="0046385A">
              <w:rPr>
                <w:rFonts w:asciiTheme="minorHAnsi" w:hAnsiTheme="minorHAnsi" w:cstheme="minorHAnsi"/>
                <w:sz w:val="16"/>
                <w:szCs w:val="16"/>
              </w:rPr>
              <w:t>Aprocassi y Cenfrocafé</w:t>
            </w:r>
            <w:r>
              <w:rPr>
                <w:rFonts w:asciiTheme="minorHAnsi" w:hAnsiTheme="minorHAnsi" w:cstheme="minorHAnsi"/>
                <w:sz w:val="16"/>
                <w:szCs w:val="16"/>
              </w:rPr>
              <w:t>, para realizar el</w:t>
            </w:r>
            <w:r w:rsidRPr="0046385A">
              <w:rPr>
                <w:rFonts w:asciiTheme="minorHAnsi" w:hAnsiTheme="minorHAnsi" w:cstheme="minorHAnsi"/>
                <w:sz w:val="16"/>
                <w:szCs w:val="16"/>
              </w:rPr>
              <w:t xml:space="preserve"> levantamiento de polígonos de </w:t>
            </w:r>
            <w:r>
              <w:rPr>
                <w:rFonts w:asciiTheme="minorHAnsi" w:hAnsiTheme="minorHAnsi" w:cstheme="minorHAnsi"/>
                <w:sz w:val="16"/>
                <w:szCs w:val="16"/>
              </w:rPr>
              <w:t xml:space="preserve">las fincas de </w:t>
            </w:r>
            <w:r w:rsidRPr="0046385A">
              <w:rPr>
                <w:rFonts w:asciiTheme="minorHAnsi" w:hAnsiTheme="minorHAnsi" w:cstheme="minorHAnsi"/>
                <w:sz w:val="16"/>
                <w:szCs w:val="16"/>
              </w:rPr>
              <w:t xml:space="preserve">sus socios </w:t>
            </w:r>
            <w:r>
              <w:rPr>
                <w:rFonts w:asciiTheme="minorHAnsi" w:hAnsiTheme="minorHAnsi" w:cstheme="minorHAnsi"/>
                <w:sz w:val="16"/>
                <w:szCs w:val="16"/>
              </w:rPr>
              <w:t xml:space="preserve">con la finalidad de contar con la información que se solicita en el marco de la normatividad de la </w:t>
            </w:r>
            <w:r w:rsidRPr="0046385A">
              <w:rPr>
                <w:rFonts w:asciiTheme="minorHAnsi" w:hAnsiTheme="minorHAnsi" w:cstheme="minorHAnsi"/>
                <w:sz w:val="16"/>
                <w:szCs w:val="16"/>
              </w:rPr>
              <w:t>EUDR</w:t>
            </w:r>
            <w:r>
              <w:rPr>
                <w:rFonts w:asciiTheme="minorHAnsi" w:hAnsiTheme="minorHAnsi" w:cstheme="minorHAnsi"/>
                <w:sz w:val="16"/>
                <w:szCs w:val="16"/>
              </w:rPr>
              <w:t xml:space="preserve">. El levantamiento de polígonos incluye </w:t>
            </w:r>
            <w:r w:rsidR="000A4CEC">
              <w:rPr>
                <w:rFonts w:asciiTheme="minorHAnsi" w:hAnsiTheme="minorHAnsi" w:cstheme="minorHAnsi"/>
                <w:sz w:val="16"/>
                <w:szCs w:val="16"/>
              </w:rPr>
              <w:t>la caracterización de las parcelas y recopila información sobre variables productivas, ambientales y sociales</w:t>
            </w:r>
            <w:r w:rsidR="00503D4E">
              <w:rPr>
                <w:rFonts w:asciiTheme="minorHAnsi" w:hAnsiTheme="minorHAnsi" w:cstheme="minorHAnsi"/>
                <w:sz w:val="16"/>
                <w:szCs w:val="16"/>
              </w:rPr>
              <w:t xml:space="preserve">, </w:t>
            </w:r>
            <w:r w:rsidR="000A4CEC">
              <w:rPr>
                <w:rFonts w:asciiTheme="minorHAnsi" w:hAnsiTheme="minorHAnsi" w:cstheme="minorHAnsi"/>
                <w:sz w:val="16"/>
                <w:szCs w:val="16"/>
              </w:rPr>
              <w:t>lo que permitirá fortalecer la trazabilidad y el monitoreo.</w:t>
            </w:r>
            <w:r>
              <w:rPr>
                <w:rFonts w:asciiTheme="minorHAnsi" w:hAnsiTheme="minorHAnsi" w:cstheme="minorHAnsi"/>
                <w:sz w:val="16"/>
                <w:szCs w:val="16"/>
              </w:rPr>
              <w:t xml:space="preserve"> </w:t>
            </w:r>
          </w:p>
          <w:p w14:paraId="7CE5EFC4" w14:textId="2340AEC3" w:rsidR="00503D4E" w:rsidRDefault="00503D4E" w:rsidP="005869D8">
            <w:pPr>
              <w:tabs>
                <w:tab w:val="left" w:pos="4680"/>
              </w:tabs>
              <w:rPr>
                <w:rFonts w:asciiTheme="minorHAnsi" w:hAnsiTheme="minorHAnsi" w:cstheme="minorHAnsi"/>
                <w:sz w:val="16"/>
                <w:szCs w:val="16"/>
              </w:rPr>
            </w:pPr>
            <w:r>
              <w:rPr>
                <w:rFonts w:asciiTheme="minorHAnsi" w:hAnsiTheme="minorHAnsi" w:cstheme="minorHAnsi"/>
                <w:sz w:val="16"/>
                <w:szCs w:val="16"/>
              </w:rPr>
              <w:t>E</w:t>
            </w:r>
            <w:r w:rsidR="0046385A">
              <w:rPr>
                <w:rFonts w:asciiTheme="minorHAnsi" w:hAnsiTheme="minorHAnsi" w:cstheme="minorHAnsi"/>
                <w:sz w:val="16"/>
                <w:szCs w:val="16"/>
              </w:rPr>
              <w:t>s importante señalar que la información generada</w:t>
            </w:r>
            <w:r w:rsidR="0046385A" w:rsidRPr="0046385A">
              <w:rPr>
                <w:rFonts w:asciiTheme="minorHAnsi" w:hAnsiTheme="minorHAnsi" w:cstheme="minorHAnsi"/>
                <w:sz w:val="16"/>
                <w:szCs w:val="16"/>
              </w:rPr>
              <w:t xml:space="preserve">, </w:t>
            </w:r>
            <w:r>
              <w:rPr>
                <w:rFonts w:asciiTheme="minorHAnsi" w:hAnsiTheme="minorHAnsi" w:cstheme="minorHAnsi"/>
                <w:sz w:val="16"/>
                <w:szCs w:val="16"/>
              </w:rPr>
              <w:t xml:space="preserve">alimentará los sistemas de trazabilidad que desde el 2025 ha venido diseñando para estas cooperativas el proyecto BLF Amazónico liderado por Practical Action. Estas acciones se realizan en un marco de gestión colaborativa entre ambos proyectos. </w:t>
            </w:r>
          </w:p>
          <w:p w14:paraId="46C96F8F" w14:textId="6E66EB17" w:rsidR="0046385A" w:rsidRDefault="0046385A" w:rsidP="005869D8">
            <w:pPr>
              <w:tabs>
                <w:tab w:val="left" w:pos="4680"/>
              </w:tabs>
              <w:rPr>
                <w:rFonts w:asciiTheme="minorHAnsi" w:hAnsiTheme="minorHAnsi" w:cstheme="minorHAnsi"/>
                <w:sz w:val="16"/>
                <w:szCs w:val="16"/>
              </w:rPr>
            </w:pPr>
            <w:r>
              <w:rPr>
                <w:rFonts w:asciiTheme="minorHAnsi" w:hAnsiTheme="minorHAnsi" w:cstheme="minorHAnsi"/>
                <w:sz w:val="16"/>
                <w:szCs w:val="16"/>
              </w:rPr>
              <w:t xml:space="preserve">A la fecha, la cooperativa APROCASSI ya tiene elaborado el </w:t>
            </w:r>
            <w:r w:rsidR="00084119">
              <w:rPr>
                <w:rFonts w:asciiTheme="minorHAnsi" w:hAnsiTheme="minorHAnsi" w:cstheme="minorHAnsi"/>
                <w:sz w:val="16"/>
                <w:szCs w:val="16"/>
              </w:rPr>
              <w:t xml:space="preserve">software del </w:t>
            </w:r>
            <w:r>
              <w:rPr>
                <w:rFonts w:asciiTheme="minorHAnsi" w:hAnsiTheme="minorHAnsi" w:cstheme="minorHAnsi"/>
                <w:sz w:val="16"/>
                <w:szCs w:val="16"/>
              </w:rPr>
              <w:t xml:space="preserve">sistema de trazabilidad </w:t>
            </w:r>
            <w:r w:rsidR="00084119">
              <w:rPr>
                <w:rFonts w:asciiTheme="minorHAnsi" w:hAnsiTheme="minorHAnsi" w:cstheme="minorHAnsi"/>
                <w:sz w:val="16"/>
                <w:szCs w:val="16"/>
              </w:rPr>
              <w:t xml:space="preserve">implementado, </w:t>
            </w:r>
            <w:r>
              <w:rPr>
                <w:rFonts w:asciiTheme="minorHAnsi" w:hAnsiTheme="minorHAnsi" w:cstheme="minorHAnsi"/>
                <w:sz w:val="16"/>
                <w:szCs w:val="16"/>
              </w:rPr>
              <w:t xml:space="preserve">que le permite </w:t>
            </w:r>
            <w:r w:rsidR="00084119">
              <w:rPr>
                <w:rFonts w:asciiTheme="minorHAnsi" w:hAnsiTheme="minorHAnsi" w:cstheme="minorHAnsi"/>
                <w:sz w:val="16"/>
                <w:szCs w:val="16"/>
              </w:rPr>
              <w:t xml:space="preserve">añadir toda la información generada e informar a sus clientes de acuerdo a los </w:t>
            </w:r>
            <w:r w:rsidR="0085356E">
              <w:rPr>
                <w:rFonts w:asciiTheme="minorHAnsi" w:hAnsiTheme="minorHAnsi" w:cstheme="minorHAnsi"/>
                <w:sz w:val="16"/>
                <w:szCs w:val="16"/>
              </w:rPr>
              <w:t>requisitos</w:t>
            </w:r>
            <w:r w:rsidR="00084119">
              <w:rPr>
                <w:rFonts w:asciiTheme="minorHAnsi" w:hAnsiTheme="minorHAnsi" w:cstheme="minorHAnsi"/>
                <w:sz w:val="16"/>
                <w:szCs w:val="16"/>
              </w:rPr>
              <w:t xml:space="preserve"> de la EUDR. En el caso de </w:t>
            </w:r>
            <w:r>
              <w:rPr>
                <w:rFonts w:asciiTheme="minorHAnsi" w:hAnsiTheme="minorHAnsi" w:cstheme="minorHAnsi"/>
                <w:sz w:val="16"/>
                <w:szCs w:val="16"/>
              </w:rPr>
              <w:t>CENFROCAF</w:t>
            </w:r>
            <w:r w:rsidR="00084119">
              <w:rPr>
                <w:rFonts w:asciiTheme="minorHAnsi" w:hAnsiTheme="minorHAnsi" w:cstheme="minorHAnsi"/>
                <w:sz w:val="16"/>
                <w:szCs w:val="16"/>
              </w:rPr>
              <w:t>É, el software se encuentra todavía en diseño.</w:t>
            </w:r>
          </w:p>
          <w:p w14:paraId="38D01147" w14:textId="1D57EBF8" w:rsidR="00B4233F" w:rsidRPr="00DE692F" w:rsidRDefault="006C1002" w:rsidP="005869D8">
            <w:pPr>
              <w:tabs>
                <w:tab w:val="left" w:pos="4680"/>
              </w:tabs>
              <w:rPr>
                <w:rFonts w:asciiTheme="minorHAnsi" w:hAnsiTheme="minorHAnsi" w:cstheme="minorHAnsi"/>
                <w:sz w:val="16"/>
                <w:szCs w:val="16"/>
              </w:rPr>
            </w:pPr>
            <w:r>
              <w:rPr>
                <w:rFonts w:asciiTheme="minorHAnsi" w:hAnsiTheme="minorHAnsi" w:cstheme="minorHAnsi"/>
                <w:sz w:val="16"/>
                <w:szCs w:val="16"/>
              </w:rPr>
              <w:t xml:space="preserve">Se espera contar con ambos sistemas de trazabilidad viables, que permitan registrar y verificar el cumplimiento de la libre deforestación desde el productor hasta el destino final de la exportación. </w:t>
            </w:r>
          </w:p>
        </w:tc>
        <w:tc>
          <w:tcPr>
            <w:tcW w:w="6520" w:type="dxa"/>
            <w:gridSpan w:val="6"/>
            <w:tcBorders>
              <w:bottom w:val="single" w:sz="4" w:space="0" w:color="auto"/>
            </w:tcBorders>
            <w:vAlign w:val="center"/>
          </w:tcPr>
          <w:p w14:paraId="78D9061D" w14:textId="0714CF3F" w:rsidR="00503D4E" w:rsidRPr="00503D4E" w:rsidRDefault="00503D4E" w:rsidP="00CD6B74">
            <w:pPr>
              <w:tabs>
                <w:tab w:val="left" w:pos="4680"/>
              </w:tabs>
              <w:rPr>
                <w:rFonts w:asciiTheme="minorHAnsi" w:eastAsiaTheme="minorEastAsia" w:hAnsiTheme="minorHAnsi" w:cstheme="minorHAnsi"/>
                <w:sz w:val="16"/>
                <w:szCs w:val="16"/>
              </w:rPr>
            </w:pPr>
            <w:r w:rsidRPr="00503D4E">
              <w:rPr>
                <w:rFonts w:asciiTheme="minorHAnsi" w:eastAsiaTheme="minorEastAsia" w:hAnsiTheme="minorHAnsi" w:cstheme="minorHAnsi"/>
                <w:sz w:val="16"/>
                <w:szCs w:val="16"/>
              </w:rPr>
              <w:t>Sobr</w:t>
            </w:r>
            <w:r>
              <w:rPr>
                <w:rFonts w:asciiTheme="minorHAnsi" w:eastAsiaTheme="minorEastAsia" w:hAnsiTheme="minorHAnsi" w:cstheme="minorHAnsi"/>
                <w:sz w:val="16"/>
                <w:szCs w:val="16"/>
              </w:rPr>
              <w:t xml:space="preserve">e esta base a nivel de cooperativas, </w:t>
            </w:r>
            <w:r w:rsidR="000A4CEC">
              <w:rPr>
                <w:rFonts w:asciiTheme="minorHAnsi" w:eastAsiaTheme="minorEastAsia" w:hAnsiTheme="minorHAnsi" w:cstheme="minorHAnsi"/>
                <w:sz w:val="16"/>
                <w:szCs w:val="16"/>
              </w:rPr>
              <w:t xml:space="preserve">que continuará durante el 2026, también </w:t>
            </w:r>
            <w:r>
              <w:rPr>
                <w:rFonts w:asciiTheme="minorHAnsi" w:eastAsiaTheme="minorEastAsia" w:hAnsiTheme="minorHAnsi" w:cstheme="minorHAnsi"/>
                <w:sz w:val="16"/>
                <w:szCs w:val="16"/>
              </w:rPr>
              <w:t xml:space="preserve">se ha planificado elaborar una herramienta digital de trazabilidad en el marco de la EUDR </w:t>
            </w:r>
            <w:r w:rsidR="000A4CEC">
              <w:rPr>
                <w:rFonts w:asciiTheme="minorHAnsi" w:eastAsiaTheme="minorEastAsia" w:hAnsiTheme="minorHAnsi" w:cstheme="minorHAnsi"/>
                <w:sz w:val="16"/>
                <w:szCs w:val="16"/>
              </w:rPr>
              <w:t>que se articule</w:t>
            </w:r>
            <w:r w:rsidRPr="00503D4E">
              <w:rPr>
                <w:rFonts w:asciiTheme="minorHAnsi" w:eastAsiaTheme="minorEastAsia" w:hAnsiTheme="minorHAnsi" w:cstheme="minorHAnsi"/>
                <w:sz w:val="16"/>
                <w:szCs w:val="16"/>
              </w:rPr>
              <w:t xml:space="preserve"> con el Gobierno Regional de San Martín, con el objetivo de integrar esfuerzos a nivel territorial, fortalecer las capacidades de M&amp;E y contribuir a la consolidación de un sistema con alcance regional</w:t>
            </w:r>
            <w:r>
              <w:rPr>
                <w:rFonts w:asciiTheme="minorHAnsi" w:eastAsiaTheme="minorEastAsia" w:hAnsiTheme="minorHAnsi" w:cstheme="minorHAnsi"/>
                <w:sz w:val="16"/>
                <w:szCs w:val="16"/>
              </w:rPr>
              <w:t>.</w:t>
            </w:r>
          </w:p>
          <w:p w14:paraId="1AC6E20F" w14:textId="77777777" w:rsidR="00503D4E" w:rsidRDefault="00503D4E" w:rsidP="00CD6B74">
            <w:pPr>
              <w:tabs>
                <w:tab w:val="left" w:pos="4680"/>
              </w:tabs>
              <w:rPr>
                <w:rFonts w:asciiTheme="minorHAnsi" w:eastAsiaTheme="minorEastAsia" w:hAnsiTheme="minorHAnsi" w:cstheme="minorHAnsi"/>
                <w:b/>
                <w:bCs/>
                <w:sz w:val="16"/>
                <w:szCs w:val="16"/>
              </w:rPr>
            </w:pPr>
          </w:p>
          <w:p w14:paraId="35FB06F1" w14:textId="769F992B" w:rsidR="00084119" w:rsidRDefault="00503D4E" w:rsidP="0085356E">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 </w:t>
            </w:r>
          </w:p>
          <w:p w14:paraId="2133B370" w14:textId="1B46F231" w:rsidR="0059756F" w:rsidRPr="00DE692F" w:rsidRDefault="0059756F" w:rsidP="00CD6B74">
            <w:pPr>
              <w:tabs>
                <w:tab w:val="left" w:pos="4680"/>
              </w:tabs>
              <w:rPr>
                <w:rFonts w:asciiTheme="minorHAnsi" w:hAnsiTheme="minorHAnsi" w:cstheme="minorHAnsi"/>
                <w:sz w:val="16"/>
                <w:szCs w:val="16"/>
              </w:rPr>
            </w:pPr>
          </w:p>
        </w:tc>
      </w:tr>
      <w:tr w:rsidR="00CD6B74" w:rsidRPr="00DE692F" w14:paraId="0F53892E" w14:textId="77777777" w:rsidTr="005B7DD9">
        <w:trPr>
          <w:trHeight w:val="1190"/>
        </w:trPr>
        <w:tc>
          <w:tcPr>
            <w:tcW w:w="1702" w:type="dxa"/>
            <w:tcBorders>
              <w:bottom w:val="single" w:sz="4" w:space="0" w:color="auto"/>
            </w:tcBorders>
            <w:shd w:val="clear" w:color="auto" w:fill="D0CECE" w:themeFill="background2" w:themeFillShade="E6"/>
            <w:vAlign w:val="center"/>
          </w:tcPr>
          <w:p w14:paraId="22902A29" w14:textId="5E1245BB"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2.1.5</w:t>
            </w:r>
          </w:p>
        </w:tc>
        <w:tc>
          <w:tcPr>
            <w:tcW w:w="2400" w:type="dxa"/>
            <w:tcBorders>
              <w:bottom w:val="single" w:sz="4" w:space="0" w:color="auto"/>
            </w:tcBorders>
            <w:shd w:val="clear" w:color="auto" w:fill="D0CECE" w:themeFill="background2" w:themeFillShade="E6"/>
            <w:vAlign w:val="center"/>
          </w:tcPr>
          <w:p w14:paraId="0FAE258A"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26E2CCEA" w14:textId="2C5D8C8F" w:rsidR="00CD6B74" w:rsidRPr="00DE692F" w:rsidRDefault="003E274A"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CD6B74"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65DC062C"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4E5A5AB"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3911693D"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6BFF1403"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3AFA28A"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73FB4DE3"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0AE801CB"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019973D6"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6FD76DC"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74C5D6DF"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4D1259E"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469CFAEF" w14:textId="77777777" w:rsidR="00CD6B74" w:rsidRPr="00DE692F" w:rsidRDefault="00CD6B74" w:rsidP="00CD6B74">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CD6B74" w:rsidRPr="00DE692F" w14:paraId="02A5DA98" w14:textId="77777777" w:rsidTr="005B7DD9">
        <w:trPr>
          <w:trHeight w:val="688"/>
        </w:trPr>
        <w:tc>
          <w:tcPr>
            <w:tcW w:w="1702" w:type="dxa"/>
            <w:vAlign w:val="center"/>
          </w:tcPr>
          <w:p w14:paraId="12C261D6" w14:textId="4F941706" w:rsidR="00CD6B74" w:rsidRPr="00DE692F" w:rsidRDefault="00CD6B74" w:rsidP="00CD6B74">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Una estrategia de CLD a nivel de paisaje financieramente sostenible desarrollada y financiada con recursos públicos y privados, destinada a aumentar y expandir </w:t>
            </w:r>
            <w:r w:rsidRPr="00DE692F">
              <w:rPr>
                <w:rFonts w:asciiTheme="minorHAnsi" w:eastAsiaTheme="minorEastAsia" w:hAnsiTheme="minorHAnsi" w:cstheme="minorHAnsi"/>
                <w:sz w:val="16"/>
                <w:szCs w:val="16"/>
              </w:rPr>
              <w:lastRenderedPageBreak/>
              <w:t>la asistencia técnica (AT) pública y privada y los servicios de extensión</w:t>
            </w:r>
          </w:p>
        </w:tc>
        <w:tc>
          <w:tcPr>
            <w:tcW w:w="2400" w:type="dxa"/>
            <w:vAlign w:val="center"/>
          </w:tcPr>
          <w:p w14:paraId="46300417" w14:textId="65935E17" w:rsidR="00CD6B74" w:rsidRPr="00DE692F" w:rsidRDefault="003E274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3B19CCC8" w14:textId="2800D022"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67D1FA1B" w14:textId="0C28E568" w:rsidR="00CD6B74" w:rsidRPr="00DE692F" w:rsidRDefault="003E274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7D74DBC2" w14:textId="3F77069D" w:rsidR="00CD6B74" w:rsidRPr="00DE692F" w:rsidRDefault="003E274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071FAEA5" w14:textId="0C44B084" w:rsidR="00CD6B74" w:rsidRPr="00DE692F" w:rsidRDefault="003E274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657BAB82" w14:textId="0572BEE8" w:rsidR="00CD6B74" w:rsidRPr="00DE692F" w:rsidRDefault="00D116E5"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546F8393" w14:textId="46584E2F" w:rsidR="00CD6B74" w:rsidRPr="00DE692F" w:rsidRDefault="00D116E5"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55178714" w14:textId="0184A5FB" w:rsidR="00CD6B74" w:rsidRPr="00DE692F" w:rsidRDefault="007C3BB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20</w:t>
            </w:r>
            <w:r>
              <w:rPr>
                <w:rStyle w:val="Refdenotaalpie"/>
                <w:rFonts w:eastAsiaTheme="minorEastAsia" w:cstheme="minorHAnsi"/>
                <w:szCs w:val="16"/>
              </w:rPr>
              <w:footnoteReference w:id="21"/>
            </w:r>
            <w:r w:rsidR="00D116E5" w:rsidRPr="00DE692F">
              <w:rPr>
                <w:rFonts w:asciiTheme="minorHAnsi" w:eastAsiaTheme="minorEastAsia" w:hAnsiTheme="minorHAnsi" w:cstheme="minorHAnsi"/>
                <w:sz w:val="16"/>
                <w:szCs w:val="16"/>
              </w:rPr>
              <w:t>%</w:t>
            </w:r>
          </w:p>
        </w:tc>
      </w:tr>
      <w:tr w:rsidR="00CD6B74" w:rsidRPr="00DE692F" w14:paraId="65B30CF6" w14:textId="77777777" w:rsidTr="005B7DD9">
        <w:trPr>
          <w:trHeight w:val="176"/>
        </w:trPr>
        <w:tc>
          <w:tcPr>
            <w:tcW w:w="11482" w:type="dxa"/>
            <w:gridSpan w:val="9"/>
            <w:shd w:val="clear" w:color="auto" w:fill="D0CECE" w:themeFill="background2" w:themeFillShade="E6"/>
            <w:vAlign w:val="center"/>
          </w:tcPr>
          <w:p w14:paraId="2FBFA1E8" w14:textId="77777777" w:rsidR="00CD6B74" w:rsidRPr="00DE692F" w:rsidRDefault="00CD6B74" w:rsidP="00CD6B74">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CD6B74" w:rsidRPr="00DE692F" w14:paraId="5D83C151" w14:textId="77777777" w:rsidTr="005B7DD9">
        <w:trPr>
          <w:trHeight w:val="294"/>
        </w:trPr>
        <w:tc>
          <w:tcPr>
            <w:tcW w:w="1702" w:type="dxa"/>
            <w:vAlign w:val="center"/>
          </w:tcPr>
          <w:p w14:paraId="21051562" w14:textId="0D544763"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2.1.5.1</w:t>
            </w:r>
          </w:p>
        </w:tc>
        <w:tc>
          <w:tcPr>
            <w:tcW w:w="9780" w:type="dxa"/>
            <w:gridSpan w:val="8"/>
            <w:vAlign w:val="center"/>
          </w:tcPr>
          <w:p w14:paraId="5B12062D" w14:textId="4BF5CD95"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Elaborar una estrategia financiera para apoyar y articular la financiación de los servicios de extensión de CLD, incluida la viabilidad de los fondos para commodities</w:t>
            </w:r>
          </w:p>
        </w:tc>
      </w:tr>
      <w:tr w:rsidR="00CD6B74" w:rsidRPr="00DE692F" w14:paraId="5FC53D5B" w14:textId="77777777" w:rsidTr="005B7DD9">
        <w:trPr>
          <w:trHeight w:val="256"/>
        </w:trPr>
        <w:tc>
          <w:tcPr>
            <w:tcW w:w="1702" w:type="dxa"/>
            <w:vAlign w:val="center"/>
          </w:tcPr>
          <w:p w14:paraId="229C1985" w14:textId="34DFCFA5"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2.1.5.2</w:t>
            </w:r>
          </w:p>
        </w:tc>
        <w:tc>
          <w:tcPr>
            <w:tcW w:w="9780" w:type="dxa"/>
            <w:gridSpan w:val="8"/>
            <w:vAlign w:val="center"/>
          </w:tcPr>
          <w:p w14:paraId="598BB5AB" w14:textId="0155E9CA"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e implementación de una estrategia para mejora la calidad de la AT</w:t>
            </w:r>
          </w:p>
        </w:tc>
      </w:tr>
      <w:tr w:rsidR="00CD6B74" w:rsidRPr="00DE692F" w14:paraId="5263AF36" w14:textId="77777777" w:rsidTr="005B7DD9">
        <w:trPr>
          <w:trHeight w:val="688"/>
        </w:trPr>
        <w:tc>
          <w:tcPr>
            <w:tcW w:w="4962" w:type="dxa"/>
            <w:gridSpan w:val="3"/>
            <w:tcBorders>
              <w:bottom w:val="single" w:sz="4" w:space="0" w:color="auto"/>
            </w:tcBorders>
            <w:vAlign w:val="center"/>
          </w:tcPr>
          <w:p w14:paraId="5265700D" w14:textId="3CEC60F6" w:rsidR="006116D5" w:rsidRDefault="00082204" w:rsidP="00F271CA">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La estrategia de CLD a nivel de paisaje financieramente sostenible </w:t>
            </w:r>
            <w:r w:rsidR="006116D5">
              <w:rPr>
                <w:rFonts w:asciiTheme="minorHAnsi" w:hAnsiTheme="minorHAnsi" w:cstheme="minorHAnsi"/>
                <w:sz w:val="16"/>
                <w:szCs w:val="16"/>
              </w:rPr>
              <w:t xml:space="preserve">que aumente y expanda la asistencia técnica </w:t>
            </w:r>
            <w:r w:rsidRPr="00DE692F">
              <w:rPr>
                <w:rFonts w:asciiTheme="minorHAnsi" w:hAnsiTheme="minorHAnsi" w:cstheme="minorHAnsi"/>
                <w:sz w:val="16"/>
                <w:szCs w:val="16"/>
              </w:rPr>
              <w:t>se construye</w:t>
            </w:r>
            <w:r w:rsidR="008A0AF9">
              <w:rPr>
                <w:rFonts w:asciiTheme="minorHAnsi" w:hAnsiTheme="minorHAnsi" w:cstheme="minorHAnsi"/>
                <w:sz w:val="16"/>
                <w:szCs w:val="16"/>
              </w:rPr>
              <w:t xml:space="preserve"> e implementa</w:t>
            </w:r>
            <w:r w:rsidRPr="00DE692F">
              <w:rPr>
                <w:rFonts w:asciiTheme="minorHAnsi" w:hAnsiTheme="minorHAnsi" w:cstheme="minorHAnsi"/>
                <w:sz w:val="16"/>
                <w:szCs w:val="16"/>
              </w:rPr>
              <w:t xml:space="preserve"> a partir de vari</w:t>
            </w:r>
            <w:r w:rsidR="007A2B89">
              <w:rPr>
                <w:rFonts w:asciiTheme="minorHAnsi" w:hAnsiTheme="minorHAnsi" w:cstheme="minorHAnsi"/>
                <w:sz w:val="16"/>
                <w:szCs w:val="16"/>
              </w:rPr>
              <w:t>a</w:t>
            </w:r>
            <w:r w:rsidRPr="00DE692F">
              <w:rPr>
                <w:rFonts w:asciiTheme="minorHAnsi" w:hAnsiTheme="minorHAnsi" w:cstheme="minorHAnsi"/>
                <w:sz w:val="16"/>
                <w:szCs w:val="16"/>
              </w:rPr>
              <w:t xml:space="preserve">s </w:t>
            </w:r>
            <w:r w:rsidR="007A2B89">
              <w:rPr>
                <w:rFonts w:asciiTheme="minorHAnsi" w:hAnsiTheme="minorHAnsi" w:cstheme="minorHAnsi"/>
                <w:sz w:val="16"/>
                <w:szCs w:val="16"/>
              </w:rPr>
              <w:t>intervenciones</w:t>
            </w:r>
            <w:r w:rsidRPr="00DE692F">
              <w:rPr>
                <w:rFonts w:asciiTheme="minorHAnsi" w:hAnsiTheme="minorHAnsi" w:cstheme="minorHAnsi"/>
                <w:sz w:val="16"/>
                <w:szCs w:val="16"/>
              </w:rPr>
              <w:t xml:space="preserve">. </w:t>
            </w:r>
            <w:r w:rsidR="007A2B89">
              <w:rPr>
                <w:rFonts w:asciiTheme="minorHAnsi" w:hAnsiTheme="minorHAnsi" w:cstheme="minorHAnsi"/>
                <w:sz w:val="16"/>
                <w:szCs w:val="16"/>
              </w:rPr>
              <w:t xml:space="preserve"> Por ello, durante el 2025, se </w:t>
            </w:r>
            <w:r w:rsidR="00E20DDE">
              <w:rPr>
                <w:rFonts w:asciiTheme="minorHAnsi" w:hAnsiTheme="minorHAnsi" w:cstheme="minorHAnsi"/>
                <w:sz w:val="16"/>
                <w:szCs w:val="16"/>
              </w:rPr>
              <w:t>avanzó con</w:t>
            </w:r>
            <w:r w:rsidR="006116D5">
              <w:rPr>
                <w:rFonts w:asciiTheme="minorHAnsi" w:hAnsiTheme="minorHAnsi" w:cstheme="minorHAnsi"/>
                <w:sz w:val="16"/>
                <w:szCs w:val="16"/>
              </w:rPr>
              <w:t xml:space="preserve"> las siguientes iniciativas:</w:t>
            </w:r>
          </w:p>
          <w:p w14:paraId="565394EA" w14:textId="15F86388" w:rsidR="007A2B89" w:rsidRPr="00ED4759" w:rsidRDefault="007A2B89" w:rsidP="006116D5">
            <w:pPr>
              <w:pStyle w:val="Prrafodelista"/>
              <w:numPr>
                <w:ilvl w:val="0"/>
                <w:numId w:val="46"/>
              </w:numPr>
              <w:tabs>
                <w:tab w:val="left" w:pos="4680"/>
              </w:tabs>
              <w:rPr>
                <w:rFonts w:asciiTheme="minorHAnsi" w:eastAsiaTheme="minorEastAsia" w:hAnsiTheme="minorHAnsi" w:cstheme="minorHAnsi"/>
                <w:sz w:val="16"/>
                <w:szCs w:val="16"/>
              </w:rPr>
            </w:pPr>
            <w:r w:rsidRPr="00ED4759">
              <w:rPr>
                <w:rFonts w:asciiTheme="minorHAnsi" w:eastAsiaTheme="minorEastAsia" w:hAnsiTheme="minorHAnsi" w:cstheme="minorHAnsi"/>
                <w:sz w:val="16"/>
                <w:szCs w:val="16"/>
                <w:lang w:val="es-ES"/>
              </w:rPr>
              <w:t xml:space="preserve">Elaboración de la currícula del extensionista cafetalero </w:t>
            </w:r>
            <w:r w:rsidR="00ED4759" w:rsidRPr="00ED4759">
              <w:rPr>
                <w:rFonts w:asciiTheme="minorHAnsi" w:eastAsiaTheme="minorEastAsia" w:hAnsiTheme="minorHAnsi" w:cstheme="minorHAnsi"/>
                <w:sz w:val="16"/>
                <w:szCs w:val="16"/>
                <w:lang w:val="es-ES"/>
              </w:rPr>
              <w:t xml:space="preserve">de Cajamarca </w:t>
            </w:r>
            <w:r w:rsidRPr="00ED4759">
              <w:rPr>
                <w:rFonts w:asciiTheme="minorHAnsi" w:eastAsiaTheme="minorEastAsia" w:hAnsiTheme="minorHAnsi" w:cstheme="minorHAnsi"/>
                <w:sz w:val="16"/>
                <w:szCs w:val="16"/>
                <w:lang w:val="es-ES"/>
              </w:rPr>
              <w:t>(</w:t>
            </w:r>
            <w:r w:rsidR="00ED4759" w:rsidRPr="00ED4759">
              <w:rPr>
                <w:rFonts w:asciiTheme="minorHAnsi" w:eastAsiaTheme="minorEastAsia" w:hAnsiTheme="minorHAnsi" w:cstheme="minorHAnsi"/>
                <w:sz w:val="16"/>
                <w:szCs w:val="16"/>
                <w:lang w:val="es-ES"/>
              </w:rPr>
              <w:t xml:space="preserve">firma de </w:t>
            </w:r>
            <w:r w:rsidRPr="00ED4759">
              <w:rPr>
                <w:rFonts w:asciiTheme="minorHAnsi" w:eastAsiaTheme="minorEastAsia" w:hAnsiTheme="minorHAnsi" w:cstheme="minorHAnsi"/>
                <w:sz w:val="16"/>
                <w:szCs w:val="16"/>
                <w:lang w:val="es-ES"/>
              </w:rPr>
              <w:t>contrato)</w:t>
            </w:r>
            <w:r w:rsidR="00ED4759" w:rsidRPr="00ED4759">
              <w:rPr>
                <w:rFonts w:asciiTheme="minorHAnsi" w:eastAsiaTheme="minorEastAsia" w:hAnsiTheme="minorHAnsi" w:cstheme="minorHAnsi"/>
                <w:sz w:val="16"/>
                <w:szCs w:val="16"/>
                <w:lang w:val="es-ES"/>
              </w:rPr>
              <w:t xml:space="preserve">, que estandariza metodologías, integra criterios de sostenibilidad y sienta las bases para la </w:t>
            </w:r>
            <w:r w:rsidR="00D6717E">
              <w:rPr>
                <w:rFonts w:asciiTheme="minorHAnsi" w:eastAsiaTheme="minorEastAsia" w:hAnsiTheme="minorHAnsi" w:cstheme="minorHAnsi"/>
                <w:sz w:val="16"/>
                <w:szCs w:val="16"/>
                <w:lang w:val="es-ES"/>
              </w:rPr>
              <w:t>expandir</w:t>
            </w:r>
            <w:r w:rsidR="00ED4759" w:rsidRPr="00ED4759">
              <w:rPr>
                <w:rFonts w:asciiTheme="minorHAnsi" w:eastAsiaTheme="minorEastAsia" w:hAnsiTheme="minorHAnsi" w:cstheme="minorHAnsi"/>
                <w:sz w:val="16"/>
                <w:szCs w:val="16"/>
                <w:lang w:val="es-ES"/>
              </w:rPr>
              <w:t xml:space="preserve"> los servicios de extensión en la región.</w:t>
            </w:r>
          </w:p>
          <w:p w14:paraId="68ED5757" w14:textId="33DDDBB9" w:rsidR="00082204" w:rsidRPr="008A0AF9" w:rsidRDefault="00D6717E" w:rsidP="008A0AF9">
            <w:pPr>
              <w:pStyle w:val="Prrafodelista"/>
              <w:numPr>
                <w:ilvl w:val="0"/>
                <w:numId w:val="46"/>
              </w:num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lang w:val="es-ES"/>
              </w:rPr>
              <w:t>D</w:t>
            </w:r>
            <w:r w:rsidRPr="00D6717E">
              <w:rPr>
                <w:rFonts w:asciiTheme="minorHAnsi" w:eastAsiaTheme="minorEastAsia" w:hAnsiTheme="minorHAnsi" w:cstheme="minorHAnsi"/>
                <w:sz w:val="16"/>
                <w:szCs w:val="16"/>
                <w:lang w:val="es-ES"/>
              </w:rPr>
              <w:t>esarrollo de línea estratégica transversal de inclusión y desarrollo familiar (Enfoque GESI y Metodología ECA-GALS) para expedientes técnicos de PIP en cacao y café en San Martín</w:t>
            </w:r>
            <w:r w:rsidR="008A0AF9">
              <w:rPr>
                <w:rFonts w:asciiTheme="minorHAnsi" w:eastAsiaTheme="minorEastAsia" w:hAnsiTheme="minorHAnsi" w:cstheme="minorHAnsi"/>
                <w:sz w:val="16"/>
                <w:szCs w:val="16"/>
                <w:lang w:val="es-ES"/>
              </w:rPr>
              <w:t xml:space="preserve"> (firma de contrato)</w:t>
            </w:r>
            <w:r>
              <w:rPr>
                <w:rFonts w:asciiTheme="minorHAnsi" w:eastAsiaTheme="minorEastAsia" w:hAnsiTheme="minorHAnsi" w:cstheme="minorHAnsi"/>
                <w:sz w:val="16"/>
                <w:szCs w:val="16"/>
                <w:lang w:val="es-ES"/>
              </w:rPr>
              <w:t>. Se b</w:t>
            </w:r>
            <w:r w:rsidRPr="00D6717E">
              <w:rPr>
                <w:rFonts w:asciiTheme="minorHAnsi" w:eastAsiaTheme="minorEastAsia" w:hAnsiTheme="minorHAnsi" w:cstheme="minorHAnsi"/>
                <w:sz w:val="16"/>
                <w:szCs w:val="16"/>
                <w:lang w:val="es-ES"/>
              </w:rPr>
              <w:t xml:space="preserve">uscará fortalecer el componente social y familiar mediante la incorporación del enfoque GESI en </w:t>
            </w:r>
            <w:r>
              <w:rPr>
                <w:rFonts w:asciiTheme="minorHAnsi" w:eastAsiaTheme="minorEastAsia" w:hAnsiTheme="minorHAnsi" w:cstheme="minorHAnsi"/>
                <w:sz w:val="16"/>
                <w:szCs w:val="16"/>
                <w:lang w:val="es-ES"/>
              </w:rPr>
              <w:t>estos proyectos</w:t>
            </w:r>
            <w:r w:rsidRPr="00D6717E">
              <w:rPr>
                <w:rFonts w:asciiTheme="minorHAnsi" w:eastAsiaTheme="minorEastAsia" w:hAnsiTheme="minorHAnsi" w:cstheme="minorHAnsi"/>
                <w:sz w:val="16"/>
                <w:szCs w:val="16"/>
                <w:lang w:val="es-ES"/>
              </w:rPr>
              <w:t xml:space="preserve">, asegurando financiamiento y generando mejores condiciones para la adopción tecnológica y la </w:t>
            </w:r>
            <w:r>
              <w:rPr>
                <w:rFonts w:asciiTheme="minorHAnsi" w:eastAsiaTheme="minorEastAsia" w:hAnsiTheme="minorHAnsi" w:cstheme="minorHAnsi"/>
                <w:sz w:val="16"/>
                <w:szCs w:val="16"/>
                <w:lang w:val="es-ES"/>
              </w:rPr>
              <w:t>ampliación de</w:t>
            </w:r>
            <w:r w:rsidRPr="00D6717E">
              <w:rPr>
                <w:rFonts w:asciiTheme="minorHAnsi" w:eastAsiaTheme="minorEastAsia" w:hAnsiTheme="minorHAnsi" w:cstheme="minorHAnsi"/>
                <w:sz w:val="16"/>
                <w:szCs w:val="16"/>
                <w:lang w:val="es-ES"/>
              </w:rPr>
              <w:t xml:space="preserve"> los servicios de extensión</w:t>
            </w:r>
            <w:r>
              <w:rPr>
                <w:rFonts w:asciiTheme="minorHAnsi" w:eastAsiaTheme="minorEastAsia" w:hAnsiTheme="minorHAnsi" w:cstheme="minorHAnsi"/>
                <w:sz w:val="16"/>
                <w:szCs w:val="16"/>
                <w:lang w:val="es-ES"/>
              </w:rPr>
              <w:t>.</w:t>
            </w:r>
          </w:p>
        </w:tc>
        <w:tc>
          <w:tcPr>
            <w:tcW w:w="6520" w:type="dxa"/>
            <w:gridSpan w:val="6"/>
            <w:tcBorders>
              <w:bottom w:val="single" w:sz="4" w:space="0" w:color="auto"/>
            </w:tcBorders>
            <w:vAlign w:val="center"/>
          </w:tcPr>
          <w:p w14:paraId="03696CB7" w14:textId="6270D236" w:rsidR="008A0AF9" w:rsidRDefault="008A0AF9" w:rsidP="007A2B89">
            <w:pPr>
              <w:tabs>
                <w:tab w:val="left" w:pos="4680"/>
              </w:tabs>
              <w:rPr>
                <w:rFonts w:asciiTheme="minorHAnsi" w:hAnsiTheme="minorHAnsi" w:cstheme="minorHAnsi"/>
                <w:sz w:val="16"/>
                <w:szCs w:val="16"/>
              </w:rPr>
            </w:pPr>
            <w:r>
              <w:rPr>
                <w:rFonts w:asciiTheme="minorHAnsi" w:hAnsiTheme="minorHAnsi" w:cstheme="minorHAnsi"/>
                <w:sz w:val="16"/>
                <w:szCs w:val="16"/>
              </w:rPr>
              <w:t xml:space="preserve">Por lo anterior, durante el 2026, se tendrán los avances a nivel regional y se continuará con otras acciones como el apoyo a proyectos de inversión de cacao nativo con el GORE Amazonas. Así como oportunidades para generar capacidades tanto para formuladores de planes de negocio en el marco de Procompite del GORE San Martín, como un programa para capacitar a los técnicos de campo en temas diversos orientados a la mejora de la calidad y productividad, así como lineamientos generales de actualidad como la normatividad EUDR. </w:t>
            </w:r>
          </w:p>
          <w:p w14:paraId="743C8FC0" w14:textId="402A8231" w:rsidR="00D6717E" w:rsidRPr="00DE692F" w:rsidRDefault="00F05664" w:rsidP="008A0AF9">
            <w:pPr>
              <w:tabs>
                <w:tab w:val="left" w:pos="4680"/>
              </w:tabs>
              <w:rPr>
                <w:rFonts w:asciiTheme="minorHAnsi" w:hAnsiTheme="minorHAnsi" w:cstheme="minorHAnsi"/>
                <w:sz w:val="16"/>
                <w:szCs w:val="16"/>
              </w:rPr>
            </w:pPr>
            <w:r>
              <w:rPr>
                <w:rFonts w:asciiTheme="minorHAnsi" w:hAnsiTheme="minorHAnsi" w:cstheme="minorHAnsi"/>
                <w:sz w:val="16"/>
                <w:szCs w:val="16"/>
              </w:rPr>
              <w:t>Estos avances permitirán contar con</w:t>
            </w:r>
            <w:r w:rsidR="00D6717E" w:rsidRPr="00DE692F">
              <w:rPr>
                <w:rFonts w:asciiTheme="minorHAnsi" w:hAnsiTheme="minorHAnsi" w:cstheme="minorHAnsi"/>
                <w:sz w:val="16"/>
                <w:szCs w:val="16"/>
              </w:rPr>
              <w:t xml:space="preserve"> una estrategia integrada de CLD financieramente sostenible destinada a ampliar la asistencia técnica pública y privada en la jurisdicción del proyecto.</w:t>
            </w:r>
          </w:p>
        </w:tc>
      </w:tr>
      <w:tr w:rsidR="00CD6B74" w:rsidRPr="00DE692F" w14:paraId="1EB3ECC5"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1C139427" w14:textId="77777777" w:rsidR="00CD6B74" w:rsidRPr="00DE692F" w:rsidRDefault="00CD6B74" w:rsidP="00CD6B74">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2:  </w:t>
            </w:r>
            <w:r w:rsidRPr="00DE692F">
              <w:rPr>
                <w:rFonts w:asciiTheme="minorHAnsi" w:eastAsiaTheme="minorEastAsia" w:hAnsiTheme="minorHAnsi" w:cstheme="minorHAnsi"/>
                <w:sz w:val="16"/>
                <w:szCs w:val="16"/>
              </w:rPr>
              <w:t>Promoción de commodities libres de deforestación y sostenibles y cadenas de valor responsables</w:t>
            </w:r>
          </w:p>
          <w:p w14:paraId="362759FC" w14:textId="6AC65BEB" w:rsidR="00CD6B74" w:rsidRPr="00DE692F" w:rsidRDefault="00CD6B74" w:rsidP="00CD6B74">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4:  </w:t>
            </w:r>
            <w:r w:rsidRPr="00DE692F">
              <w:rPr>
                <w:rFonts w:asciiTheme="minorHAnsi" w:eastAsiaTheme="minorEastAsia" w:hAnsiTheme="minorHAnsi" w:cstheme="minorHAnsi"/>
                <w:sz w:val="16"/>
                <w:szCs w:val="16"/>
              </w:rPr>
              <w:t>Pequeños agricultores reciben mayores beneficios netos como resultado de que comerciantes y consumidores compran más commodities libres de deforestación (CLD)</w:t>
            </w:r>
          </w:p>
        </w:tc>
      </w:tr>
      <w:tr w:rsidR="00CD6B74" w:rsidRPr="00DE692F" w14:paraId="6C07106C" w14:textId="77777777" w:rsidTr="005B7DD9">
        <w:trPr>
          <w:trHeight w:val="1190"/>
        </w:trPr>
        <w:tc>
          <w:tcPr>
            <w:tcW w:w="1702" w:type="dxa"/>
            <w:tcBorders>
              <w:bottom w:val="single" w:sz="4" w:space="0" w:color="auto"/>
            </w:tcBorders>
            <w:shd w:val="clear" w:color="auto" w:fill="D0CECE" w:themeFill="background2" w:themeFillShade="E6"/>
            <w:vAlign w:val="center"/>
          </w:tcPr>
          <w:p w14:paraId="55458B33" w14:textId="67CE0111"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2.2.1</w:t>
            </w:r>
          </w:p>
        </w:tc>
        <w:tc>
          <w:tcPr>
            <w:tcW w:w="2400" w:type="dxa"/>
            <w:tcBorders>
              <w:bottom w:val="single" w:sz="4" w:space="0" w:color="auto"/>
            </w:tcBorders>
            <w:shd w:val="clear" w:color="auto" w:fill="D0CECE" w:themeFill="background2" w:themeFillShade="E6"/>
            <w:vAlign w:val="center"/>
          </w:tcPr>
          <w:p w14:paraId="67FA0289"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7D4027E5"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21476C23"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C0C3C94"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0C7CC6A5"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29DD695B"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E1F917D"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0C1D428D"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598EE267"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599078AF"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1672C7AA"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4C62826C"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7A3255E1"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7815811C" w14:textId="77777777" w:rsidR="00CD6B74" w:rsidRPr="00DE692F" w:rsidRDefault="00CD6B74" w:rsidP="00CD6B74">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CD6B74" w:rsidRPr="00DE692F" w14:paraId="01284993" w14:textId="77777777" w:rsidTr="005B7DD9">
        <w:trPr>
          <w:trHeight w:val="688"/>
        </w:trPr>
        <w:tc>
          <w:tcPr>
            <w:tcW w:w="1702" w:type="dxa"/>
            <w:vAlign w:val="center"/>
          </w:tcPr>
          <w:p w14:paraId="660DE5CF" w14:textId="0EA278CF" w:rsidR="00CD6B74" w:rsidRPr="00DE692F" w:rsidRDefault="00CD6B74" w:rsidP="00CD6B74">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Planes de negocios desarrollados para pequeños y medianos productores organizados en grupos, incorporando el uso de paquetes tecnológicos de CLD</w:t>
            </w:r>
          </w:p>
        </w:tc>
        <w:tc>
          <w:tcPr>
            <w:tcW w:w="2400" w:type="dxa"/>
            <w:vAlign w:val="center"/>
          </w:tcPr>
          <w:p w14:paraId="3E3629AA" w14:textId="0C7A4974" w:rsidR="00CD6B74" w:rsidRPr="00DE692F" w:rsidRDefault="007A2B89"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3EE93513" w14:textId="727B3841"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13A5FD56" w14:textId="7C29FC37"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61F48124" w14:textId="65917AD0" w:rsidR="00CD6B74" w:rsidRPr="00DE692F" w:rsidRDefault="004B691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7C0B250E" w14:textId="34390182" w:rsidR="00CD6B74" w:rsidRPr="00DE692F" w:rsidRDefault="004B691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52998844" w14:textId="0A8056C6" w:rsidR="00CD6B74" w:rsidRPr="00DE692F" w:rsidRDefault="007C0E99"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670D6E0B" w14:textId="6E495484" w:rsidR="00CD6B74" w:rsidRPr="00DE692F" w:rsidRDefault="007C0E99"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094397EE" w14:textId="6C910D65" w:rsidR="00CD6B74" w:rsidRPr="00DE692F" w:rsidRDefault="003D4886"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5</w:t>
            </w:r>
            <w:r w:rsidR="007C0E99" w:rsidRPr="00DE692F">
              <w:rPr>
                <w:rFonts w:asciiTheme="minorHAnsi" w:eastAsiaTheme="minorEastAsia" w:hAnsiTheme="minorHAnsi" w:cstheme="minorHAnsi"/>
                <w:sz w:val="16"/>
                <w:szCs w:val="16"/>
              </w:rPr>
              <w:t>%</w:t>
            </w:r>
            <w:r>
              <w:rPr>
                <w:rStyle w:val="Refdenotaalpie"/>
                <w:rFonts w:eastAsiaTheme="minorEastAsia" w:cstheme="minorHAnsi"/>
                <w:szCs w:val="16"/>
              </w:rPr>
              <w:footnoteReference w:id="22"/>
            </w:r>
          </w:p>
        </w:tc>
      </w:tr>
      <w:tr w:rsidR="00CD6B74" w:rsidRPr="00DE692F" w14:paraId="3C92450A" w14:textId="77777777" w:rsidTr="005B7DD9">
        <w:trPr>
          <w:trHeight w:val="176"/>
        </w:trPr>
        <w:tc>
          <w:tcPr>
            <w:tcW w:w="11482" w:type="dxa"/>
            <w:gridSpan w:val="9"/>
            <w:shd w:val="clear" w:color="auto" w:fill="D0CECE" w:themeFill="background2" w:themeFillShade="E6"/>
            <w:vAlign w:val="center"/>
          </w:tcPr>
          <w:p w14:paraId="019B4427" w14:textId="77777777" w:rsidR="00CD6B74" w:rsidRPr="00DE692F" w:rsidRDefault="00CD6B74" w:rsidP="00CD6B74">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CD6B74" w:rsidRPr="00DE692F" w14:paraId="0E1FA97D" w14:textId="77777777" w:rsidTr="005B7DD9">
        <w:trPr>
          <w:trHeight w:val="256"/>
        </w:trPr>
        <w:tc>
          <w:tcPr>
            <w:tcW w:w="1702" w:type="dxa"/>
            <w:vAlign w:val="center"/>
          </w:tcPr>
          <w:p w14:paraId="3AA6899C" w14:textId="2F5826AC"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2.2.1.2</w:t>
            </w:r>
          </w:p>
        </w:tc>
        <w:tc>
          <w:tcPr>
            <w:tcW w:w="9780" w:type="dxa"/>
            <w:gridSpan w:val="8"/>
            <w:vAlign w:val="center"/>
          </w:tcPr>
          <w:p w14:paraId="21F9FB05" w14:textId="56F3651A"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Fondos Concursables para Planes de negocios</w:t>
            </w:r>
          </w:p>
        </w:tc>
      </w:tr>
      <w:tr w:rsidR="00CD6B74" w:rsidRPr="00DE692F" w14:paraId="5805129B" w14:textId="77777777" w:rsidTr="005B7DD9">
        <w:trPr>
          <w:trHeight w:val="232"/>
        </w:trPr>
        <w:tc>
          <w:tcPr>
            <w:tcW w:w="1702" w:type="dxa"/>
            <w:vAlign w:val="center"/>
          </w:tcPr>
          <w:p w14:paraId="6FB5DC80" w14:textId="4E8133AF"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2.2.1.3</w:t>
            </w:r>
          </w:p>
        </w:tc>
        <w:tc>
          <w:tcPr>
            <w:tcW w:w="9780" w:type="dxa"/>
            <w:gridSpan w:val="8"/>
            <w:vAlign w:val="center"/>
          </w:tcPr>
          <w:p w14:paraId="2ED90E44" w14:textId="210063D9"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Planes de fortalecimiento</w:t>
            </w:r>
          </w:p>
        </w:tc>
      </w:tr>
      <w:tr w:rsidR="00CD6B74" w:rsidRPr="00DE692F" w14:paraId="00D2309B" w14:textId="77777777" w:rsidTr="005B7DD9">
        <w:trPr>
          <w:trHeight w:val="688"/>
        </w:trPr>
        <w:tc>
          <w:tcPr>
            <w:tcW w:w="4962" w:type="dxa"/>
            <w:gridSpan w:val="3"/>
            <w:tcBorders>
              <w:bottom w:val="single" w:sz="4" w:space="0" w:color="auto"/>
            </w:tcBorders>
            <w:vAlign w:val="center"/>
          </w:tcPr>
          <w:p w14:paraId="45B556B8" w14:textId="70A4FE06" w:rsidR="00A23C8B" w:rsidRPr="00E44CD7" w:rsidRDefault="00563377" w:rsidP="00A23C8B">
            <w:pPr>
              <w:spacing w:after="0"/>
              <w:jc w:val="left"/>
              <w:rPr>
                <w:rFonts w:asciiTheme="minorHAnsi" w:eastAsiaTheme="minorEastAsia" w:hAnsiTheme="minorHAnsi" w:cstheme="minorHAnsi"/>
                <w:sz w:val="16"/>
                <w:szCs w:val="16"/>
              </w:rPr>
            </w:pPr>
            <w:r w:rsidRPr="00563377">
              <w:rPr>
                <w:rFonts w:asciiTheme="minorHAnsi" w:eastAsiaTheme="minorEastAsia" w:hAnsiTheme="minorHAnsi" w:cstheme="minorHAnsi"/>
                <w:sz w:val="16"/>
                <w:szCs w:val="16"/>
              </w:rPr>
              <w:t>Se ha levantado información primaria respecto a las principales limitaciones que enfrentan los productores para mejorar el rendimiento de sus parcelas y acceder a paquetes tecnológicos orientados a la producción sostenible y libre de deforestación. Estos insumos provienen tanto del estudio de línea base como del trabajo articulado con organizaciones de productores y espacios de concertación, tales como mesas técnicas regionales y plataformas nacionales como la APPCACAO. Asimismo, se prevé complementar y precisar estos hallazgos con los resultados del servicio de caracterización adjudicado en diciembre de 2025.</w:t>
            </w:r>
          </w:p>
          <w:p w14:paraId="6105DA00" w14:textId="77777777" w:rsidR="00CD6B74" w:rsidRDefault="00CD6B74" w:rsidP="00317E4C">
            <w:pPr>
              <w:tabs>
                <w:tab w:val="left" w:pos="4680"/>
              </w:tabs>
              <w:rPr>
                <w:rFonts w:asciiTheme="minorHAnsi" w:hAnsiTheme="minorHAnsi" w:cstheme="minorHAnsi"/>
                <w:sz w:val="16"/>
                <w:szCs w:val="16"/>
              </w:rPr>
            </w:pPr>
          </w:p>
          <w:p w14:paraId="55A79E39" w14:textId="6FB9CEC9" w:rsidR="00563377" w:rsidRPr="00DE692F" w:rsidRDefault="00563377" w:rsidP="00317E4C">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462DA3D4" w14:textId="1E1F8CFA" w:rsidR="003D4886" w:rsidRDefault="007E03CB" w:rsidP="00CD6B74">
            <w:pPr>
              <w:tabs>
                <w:tab w:val="left" w:pos="4680"/>
              </w:tabs>
              <w:rPr>
                <w:rFonts w:asciiTheme="minorHAnsi" w:hAnsiTheme="minorHAnsi" w:cstheme="minorHAnsi"/>
                <w:sz w:val="16"/>
                <w:szCs w:val="16"/>
              </w:rPr>
            </w:pPr>
            <w:r>
              <w:rPr>
                <w:rFonts w:asciiTheme="minorHAnsi" w:eastAsiaTheme="minorEastAsia" w:hAnsiTheme="minorHAnsi" w:cstheme="minorHAnsi"/>
                <w:b/>
                <w:bCs/>
                <w:sz w:val="16"/>
                <w:szCs w:val="16"/>
              </w:rPr>
              <w:lastRenderedPageBreak/>
              <w:t xml:space="preserve"> </w:t>
            </w:r>
            <w:r w:rsidR="00563377">
              <w:rPr>
                <w:rFonts w:asciiTheme="minorHAnsi" w:hAnsiTheme="minorHAnsi" w:cstheme="minorHAnsi"/>
                <w:sz w:val="16"/>
                <w:szCs w:val="16"/>
              </w:rPr>
              <w:t xml:space="preserve">Con base a la información con la que cuenta el proyecto, se </w:t>
            </w:r>
            <w:r>
              <w:rPr>
                <w:rFonts w:asciiTheme="minorHAnsi" w:hAnsiTheme="minorHAnsi" w:cstheme="minorHAnsi"/>
                <w:sz w:val="16"/>
                <w:szCs w:val="16"/>
              </w:rPr>
              <w:t xml:space="preserve">inició la preparación de bases y documentos técnicos para las convocatorias públicas </w:t>
            </w:r>
            <w:r w:rsidRPr="007E03CB">
              <w:rPr>
                <w:rFonts w:asciiTheme="minorHAnsi" w:hAnsiTheme="minorHAnsi" w:cstheme="minorHAnsi"/>
                <w:sz w:val="16"/>
                <w:szCs w:val="16"/>
              </w:rPr>
              <w:t>bajo la modalidad Low Value Grant (LVG) y Responsible Party Agreement (RPA)</w:t>
            </w:r>
            <w:r>
              <w:rPr>
                <w:rFonts w:asciiTheme="minorHAnsi" w:hAnsiTheme="minorHAnsi" w:cstheme="minorHAnsi"/>
                <w:sz w:val="16"/>
                <w:szCs w:val="16"/>
              </w:rPr>
              <w:t xml:space="preserve">. </w:t>
            </w:r>
          </w:p>
          <w:p w14:paraId="1A6DC95A" w14:textId="4275AF40" w:rsidR="007E03CB" w:rsidRPr="00DE692F" w:rsidRDefault="007E03CB" w:rsidP="004B691F">
            <w:pPr>
              <w:tabs>
                <w:tab w:val="left" w:pos="4680"/>
              </w:tabs>
              <w:rPr>
                <w:rFonts w:asciiTheme="minorHAnsi" w:hAnsiTheme="minorHAnsi" w:cstheme="minorHAnsi"/>
                <w:sz w:val="16"/>
                <w:szCs w:val="16"/>
              </w:rPr>
            </w:pPr>
            <w:r>
              <w:rPr>
                <w:rFonts w:asciiTheme="minorHAnsi" w:hAnsiTheme="minorHAnsi" w:cstheme="minorHAnsi"/>
                <w:sz w:val="16"/>
                <w:szCs w:val="16"/>
              </w:rPr>
              <w:t>Cabe señalar</w:t>
            </w:r>
            <w:r w:rsidR="003D4886">
              <w:rPr>
                <w:rFonts w:asciiTheme="minorHAnsi" w:hAnsiTheme="minorHAnsi" w:cstheme="minorHAnsi"/>
                <w:sz w:val="16"/>
                <w:szCs w:val="16"/>
              </w:rPr>
              <w:t xml:space="preserve">, que el proyecto viene explorando </w:t>
            </w:r>
            <w:r w:rsidR="004B691F">
              <w:rPr>
                <w:rFonts w:asciiTheme="minorHAnsi" w:hAnsiTheme="minorHAnsi" w:cstheme="minorHAnsi"/>
                <w:sz w:val="16"/>
                <w:szCs w:val="16"/>
              </w:rPr>
              <w:t>opciones para</w:t>
            </w:r>
            <w:r w:rsidR="003D4886">
              <w:rPr>
                <w:rFonts w:asciiTheme="minorHAnsi" w:hAnsiTheme="minorHAnsi" w:cstheme="minorHAnsi"/>
                <w:sz w:val="16"/>
                <w:szCs w:val="16"/>
              </w:rPr>
              <w:t xml:space="preserve"> </w:t>
            </w:r>
            <w:r w:rsidR="003D4886" w:rsidRPr="00DE692F">
              <w:rPr>
                <w:rFonts w:asciiTheme="minorHAnsi" w:hAnsiTheme="minorHAnsi" w:cstheme="minorHAnsi"/>
                <w:sz w:val="16"/>
                <w:szCs w:val="16"/>
              </w:rPr>
              <w:t xml:space="preserve">el otorgamiento de </w:t>
            </w:r>
            <w:r w:rsidR="003D4886" w:rsidRPr="003D6F66">
              <w:rPr>
                <w:rFonts w:asciiTheme="minorHAnsi" w:hAnsiTheme="minorHAnsi" w:cstheme="minorHAnsi"/>
                <w:sz w:val="16"/>
                <w:szCs w:val="16"/>
              </w:rPr>
              <w:t>Subvención de Bajo Valor (LVG)</w:t>
            </w:r>
            <w:r w:rsidR="003D4886" w:rsidRPr="00DE692F">
              <w:rPr>
                <w:rFonts w:asciiTheme="minorHAnsi" w:hAnsiTheme="minorHAnsi" w:cstheme="minorHAnsi"/>
                <w:sz w:val="16"/>
                <w:szCs w:val="16"/>
              </w:rPr>
              <w:t xml:space="preserve"> bajo la modalidad NI</w:t>
            </w:r>
            <w:r w:rsidR="004B691F">
              <w:rPr>
                <w:rFonts w:asciiTheme="minorHAnsi" w:hAnsiTheme="minorHAnsi" w:cstheme="minorHAnsi"/>
                <w:sz w:val="16"/>
                <w:szCs w:val="16"/>
              </w:rPr>
              <w:t xml:space="preserve">M.  </w:t>
            </w:r>
          </w:p>
        </w:tc>
      </w:tr>
      <w:tr w:rsidR="00CD6B74" w:rsidRPr="00DE692F" w14:paraId="520FD348" w14:textId="77777777" w:rsidTr="005B7DD9">
        <w:trPr>
          <w:trHeight w:val="1190"/>
        </w:trPr>
        <w:tc>
          <w:tcPr>
            <w:tcW w:w="1702" w:type="dxa"/>
            <w:tcBorders>
              <w:bottom w:val="single" w:sz="4" w:space="0" w:color="auto"/>
            </w:tcBorders>
            <w:shd w:val="clear" w:color="auto" w:fill="D0CECE" w:themeFill="background2" w:themeFillShade="E6"/>
            <w:vAlign w:val="center"/>
          </w:tcPr>
          <w:p w14:paraId="1A9F528C" w14:textId="52ED18DF"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2.2.2</w:t>
            </w:r>
          </w:p>
        </w:tc>
        <w:tc>
          <w:tcPr>
            <w:tcW w:w="2400" w:type="dxa"/>
            <w:tcBorders>
              <w:bottom w:val="single" w:sz="4" w:space="0" w:color="auto"/>
            </w:tcBorders>
            <w:shd w:val="clear" w:color="auto" w:fill="D0CECE" w:themeFill="background2" w:themeFillShade="E6"/>
            <w:vAlign w:val="center"/>
          </w:tcPr>
          <w:p w14:paraId="6D2E8D17"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2DE79498" w14:textId="2199B014" w:rsidR="00CD6B74" w:rsidRPr="00DE692F" w:rsidRDefault="00F932B2"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CD6B74"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283C5660"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DCA5B78"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4723E615"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473E8527"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486F49F"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08634E3C"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64BCF86F"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093B3B5"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D620A7B"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353907D2"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7EDD5EF"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2A351914" w14:textId="77777777" w:rsidR="00CD6B74" w:rsidRPr="00DE692F" w:rsidRDefault="00CD6B74" w:rsidP="00CD6B74">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CD6B74" w:rsidRPr="00DE692F" w14:paraId="78DEED39" w14:textId="77777777" w:rsidTr="005B7DD9">
        <w:trPr>
          <w:trHeight w:val="688"/>
        </w:trPr>
        <w:tc>
          <w:tcPr>
            <w:tcW w:w="1702" w:type="dxa"/>
            <w:vAlign w:val="center"/>
          </w:tcPr>
          <w:p w14:paraId="442941C7" w14:textId="6C791644" w:rsidR="00CD6B74" w:rsidRPr="00DE692F" w:rsidRDefault="00CD6B74" w:rsidP="00CD6B74">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Una estrategia financiera a nivel de paisaje diseñada para que los productores apoyen los modelos de CLD, asegurando la accesibilidad, la asequibilidad, el equilibrio de género y una cartera de inversiones de oportunidades de CLD disponibles para instituciones financieras, compradores e inversores</w:t>
            </w:r>
            <w:r w:rsidR="00C57785">
              <w:rPr>
                <w:rFonts w:asciiTheme="minorHAnsi" w:eastAsiaTheme="minorEastAsia" w:hAnsiTheme="minorHAnsi" w:cstheme="minorHAnsi"/>
                <w:sz w:val="16"/>
                <w:szCs w:val="16"/>
              </w:rPr>
              <w:t>.</w:t>
            </w:r>
          </w:p>
        </w:tc>
        <w:tc>
          <w:tcPr>
            <w:tcW w:w="2400" w:type="dxa"/>
            <w:vAlign w:val="center"/>
          </w:tcPr>
          <w:p w14:paraId="7DCD5A36" w14:textId="03DFCFC0" w:rsidR="00CD6B74" w:rsidRPr="00DE692F" w:rsidRDefault="00F05664"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4A0AD189" w14:textId="37693926"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1C1561CB" w14:textId="5AC226DE" w:rsidR="00CD6B74" w:rsidRPr="00DE692F" w:rsidRDefault="00CD6B74"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7B55673C" w14:textId="140B5478" w:rsidR="00CD6B74" w:rsidRPr="00DE692F" w:rsidRDefault="004B691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1666555F" w14:textId="495FE7FA" w:rsidR="00CD6B74" w:rsidRPr="00DE692F" w:rsidRDefault="004B691F"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6EE5D8A1" w14:textId="16ED396E" w:rsidR="00CD6B74" w:rsidRPr="00DE692F" w:rsidRDefault="00317E4C"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02B47E65" w14:textId="741391DD" w:rsidR="00CD6B74" w:rsidRPr="00DE692F" w:rsidRDefault="00317E4C" w:rsidP="00CD6B74">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61619D5D" w14:textId="56C303E3" w:rsidR="00CD6B74" w:rsidRPr="00DE692F" w:rsidRDefault="007F7C4A" w:rsidP="00CD6B74">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w:t>
            </w:r>
            <w:r w:rsidR="002C3C58" w:rsidRPr="00DE692F">
              <w:rPr>
                <w:rFonts w:asciiTheme="minorHAnsi" w:eastAsiaTheme="minorEastAsia" w:hAnsiTheme="minorHAnsi" w:cstheme="minorHAnsi"/>
                <w:sz w:val="16"/>
                <w:szCs w:val="16"/>
              </w:rPr>
              <w:t>0</w:t>
            </w:r>
            <w:r>
              <w:rPr>
                <w:rStyle w:val="Refdenotaalpie"/>
                <w:rFonts w:eastAsiaTheme="minorEastAsia" w:cstheme="minorHAnsi"/>
                <w:szCs w:val="16"/>
              </w:rPr>
              <w:footnoteReference w:id="23"/>
            </w:r>
            <w:r w:rsidR="00317E4C" w:rsidRPr="00DE692F">
              <w:rPr>
                <w:rFonts w:asciiTheme="minorHAnsi" w:eastAsiaTheme="minorEastAsia" w:hAnsiTheme="minorHAnsi" w:cstheme="minorHAnsi"/>
                <w:sz w:val="16"/>
                <w:szCs w:val="16"/>
              </w:rPr>
              <w:t>%</w:t>
            </w:r>
          </w:p>
        </w:tc>
      </w:tr>
      <w:tr w:rsidR="00CD6B74" w:rsidRPr="00DE692F" w14:paraId="72BF5BFA" w14:textId="77777777" w:rsidTr="005B7DD9">
        <w:trPr>
          <w:trHeight w:val="176"/>
        </w:trPr>
        <w:tc>
          <w:tcPr>
            <w:tcW w:w="11482" w:type="dxa"/>
            <w:gridSpan w:val="9"/>
            <w:shd w:val="clear" w:color="auto" w:fill="D0CECE" w:themeFill="background2" w:themeFillShade="E6"/>
            <w:vAlign w:val="center"/>
          </w:tcPr>
          <w:p w14:paraId="1B3F9EE4" w14:textId="77777777" w:rsidR="00CD6B74" w:rsidRPr="00DE692F" w:rsidRDefault="00CD6B74" w:rsidP="00CD6B74">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CD6B74" w:rsidRPr="00DE692F" w14:paraId="07C940F1" w14:textId="77777777" w:rsidTr="005B7DD9">
        <w:trPr>
          <w:trHeight w:val="294"/>
        </w:trPr>
        <w:tc>
          <w:tcPr>
            <w:tcW w:w="1702" w:type="dxa"/>
            <w:vAlign w:val="center"/>
          </w:tcPr>
          <w:p w14:paraId="32388D24" w14:textId="728968D9"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2.2.2.1</w:t>
            </w:r>
          </w:p>
        </w:tc>
        <w:tc>
          <w:tcPr>
            <w:tcW w:w="9780" w:type="dxa"/>
            <w:gridSpan w:val="8"/>
            <w:vAlign w:val="center"/>
          </w:tcPr>
          <w:p w14:paraId="3E8B79B7" w14:textId="04BE205F" w:rsidR="00CD6B74" w:rsidRPr="00DE692F" w:rsidRDefault="00CD6B74"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estrategia financiera para pequeños productores y productoras de CLD</w:t>
            </w:r>
            <w:r w:rsidR="00C57785">
              <w:rPr>
                <w:rFonts w:asciiTheme="minorHAnsi" w:eastAsiaTheme="minorEastAsia" w:hAnsiTheme="minorHAnsi" w:cstheme="minorHAnsi"/>
                <w:sz w:val="16"/>
                <w:szCs w:val="16"/>
              </w:rPr>
              <w:t>.</w:t>
            </w:r>
          </w:p>
        </w:tc>
      </w:tr>
      <w:tr w:rsidR="00CD6B74" w:rsidRPr="00DE692F" w14:paraId="6764F368" w14:textId="77777777" w:rsidTr="005B7DD9">
        <w:trPr>
          <w:trHeight w:val="256"/>
        </w:trPr>
        <w:tc>
          <w:tcPr>
            <w:tcW w:w="1702" w:type="dxa"/>
            <w:vAlign w:val="center"/>
          </w:tcPr>
          <w:p w14:paraId="4ECD20C3" w14:textId="328A74D4"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2.2.2.2</w:t>
            </w:r>
          </w:p>
        </w:tc>
        <w:tc>
          <w:tcPr>
            <w:tcW w:w="9780" w:type="dxa"/>
            <w:gridSpan w:val="8"/>
            <w:vAlign w:val="center"/>
          </w:tcPr>
          <w:p w14:paraId="2E6EB00F" w14:textId="0CEC9E14" w:rsidR="00CD6B74" w:rsidRPr="00DE692F" w:rsidRDefault="004B691F" w:rsidP="00CD6B74">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w:t>
            </w:r>
            <w:r w:rsidR="00CD6B74" w:rsidRPr="00DE692F">
              <w:rPr>
                <w:rFonts w:asciiTheme="minorHAnsi" w:eastAsiaTheme="minorEastAsia" w:hAnsiTheme="minorHAnsi" w:cstheme="minorHAnsi"/>
                <w:sz w:val="16"/>
                <w:szCs w:val="16"/>
              </w:rPr>
              <w:t xml:space="preserve"> y </w:t>
            </w:r>
            <w:r w:rsidRPr="00DE692F">
              <w:rPr>
                <w:rFonts w:asciiTheme="minorHAnsi" w:eastAsiaTheme="minorEastAsia" w:hAnsiTheme="minorHAnsi" w:cstheme="minorHAnsi"/>
                <w:sz w:val="16"/>
                <w:szCs w:val="16"/>
              </w:rPr>
              <w:t>Socialización</w:t>
            </w:r>
            <w:r w:rsidR="00CD6B74" w:rsidRPr="00DE692F">
              <w:rPr>
                <w:rFonts w:asciiTheme="minorHAnsi" w:eastAsiaTheme="minorEastAsia" w:hAnsiTheme="minorHAnsi" w:cstheme="minorHAnsi"/>
                <w:sz w:val="16"/>
                <w:szCs w:val="16"/>
              </w:rPr>
              <w:t xml:space="preserve"> de estrategia y productos financieros de créditos rurales dirigidos a café y cacao</w:t>
            </w:r>
            <w:r w:rsidR="00C57785">
              <w:rPr>
                <w:rFonts w:asciiTheme="minorHAnsi" w:eastAsiaTheme="minorEastAsia" w:hAnsiTheme="minorHAnsi" w:cstheme="minorHAnsi"/>
                <w:sz w:val="16"/>
                <w:szCs w:val="16"/>
              </w:rPr>
              <w:t>.</w:t>
            </w:r>
          </w:p>
        </w:tc>
      </w:tr>
      <w:tr w:rsidR="00CD6B74" w:rsidRPr="00DE692F" w14:paraId="4403E35F" w14:textId="77777777" w:rsidTr="005B7DD9">
        <w:trPr>
          <w:trHeight w:val="688"/>
        </w:trPr>
        <w:tc>
          <w:tcPr>
            <w:tcW w:w="4962" w:type="dxa"/>
            <w:gridSpan w:val="3"/>
            <w:tcBorders>
              <w:bottom w:val="single" w:sz="4" w:space="0" w:color="auto"/>
            </w:tcBorders>
            <w:vAlign w:val="center"/>
          </w:tcPr>
          <w:p w14:paraId="57E80839" w14:textId="56324650" w:rsidR="00317E4C" w:rsidRPr="00544664" w:rsidRDefault="002E7865" w:rsidP="008F04CB">
            <w:pPr>
              <w:tabs>
                <w:tab w:val="left" w:pos="4680"/>
              </w:tabs>
              <w:rPr>
                <w:rFonts w:asciiTheme="minorHAnsi" w:hAnsiTheme="minorHAnsi" w:cstheme="minorHAnsi"/>
                <w:sz w:val="16"/>
                <w:szCs w:val="16"/>
              </w:rPr>
            </w:pPr>
            <w:r w:rsidRPr="00544664">
              <w:rPr>
                <w:rFonts w:asciiTheme="minorHAnsi" w:hAnsiTheme="minorHAnsi" w:cstheme="minorHAnsi"/>
                <w:sz w:val="16"/>
                <w:szCs w:val="16"/>
              </w:rPr>
              <w:t xml:space="preserve">La estrategia financiera </w:t>
            </w:r>
            <w:r w:rsidR="00F05664" w:rsidRPr="00544664">
              <w:rPr>
                <w:rFonts w:asciiTheme="minorHAnsi" w:hAnsiTheme="minorHAnsi" w:cstheme="minorHAnsi"/>
                <w:sz w:val="16"/>
                <w:szCs w:val="16"/>
              </w:rPr>
              <w:t xml:space="preserve">dirigida a </w:t>
            </w:r>
            <w:r w:rsidRPr="00544664">
              <w:rPr>
                <w:rFonts w:asciiTheme="minorHAnsi" w:hAnsiTheme="minorHAnsi" w:cstheme="minorHAnsi"/>
                <w:sz w:val="16"/>
                <w:szCs w:val="16"/>
              </w:rPr>
              <w:t xml:space="preserve">que los productores adopten prácticas libres de </w:t>
            </w:r>
            <w:r w:rsidR="00587888" w:rsidRPr="00544664">
              <w:rPr>
                <w:rFonts w:asciiTheme="minorHAnsi" w:hAnsiTheme="minorHAnsi" w:cstheme="minorHAnsi"/>
                <w:sz w:val="16"/>
                <w:szCs w:val="16"/>
              </w:rPr>
              <w:t>deforestación</w:t>
            </w:r>
            <w:r w:rsidRPr="00544664">
              <w:rPr>
                <w:rFonts w:asciiTheme="minorHAnsi" w:hAnsiTheme="minorHAnsi" w:cstheme="minorHAnsi"/>
                <w:sz w:val="16"/>
                <w:szCs w:val="16"/>
              </w:rPr>
              <w:t xml:space="preserve"> se viene implementado con base a las distintas acciones:</w:t>
            </w:r>
          </w:p>
          <w:p w14:paraId="3F6A63D2" w14:textId="77777777" w:rsidR="007F7C4A" w:rsidRPr="00544664" w:rsidRDefault="007F7C4A" w:rsidP="007F7C4A">
            <w:pPr>
              <w:pStyle w:val="Prrafodelista"/>
              <w:numPr>
                <w:ilvl w:val="0"/>
                <w:numId w:val="48"/>
              </w:numPr>
              <w:tabs>
                <w:tab w:val="left" w:pos="4680"/>
              </w:tabs>
              <w:ind w:left="455" w:hanging="284"/>
              <w:rPr>
                <w:rFonts w:asciiTheme="minorHAnsi" w:eastAsiaTheme="minorEastAsia" w:hAnsiTheme="minorHAnsi" w:cstheme="minorHAnsi"/>
                <w:sz w:val="16"/>
                <w:szCs w:val="16"/>
              </w:rPr>
            </w:pPr>
            <w:r w:rsidRPr="00544664">
              <w:rPr>
                <w:rFonts w:asciiTheme="minorHAnsi" w:eastAsiaTheme="minorEastAsia" w:hAnsiTheme="minorHAnsi" w:cstheme="minorHAnsi"/>
                <w:sz w:val="16"/>
                <w:szCs w:val="16"/>
              </w:rPr>
              <w:t>Se brindó apoyo para la e</w:t>
            </w:r>
            <w:r w:rsidR="002E7865" w:rsidRPr="00544664">
              <w:rPr>
                <w:rFonts w:asciiTheme="minorHAnsi" w:eastAsiaTheme="minorEastAsia" w:hAnsiTheme="minorHAnsi" w:cstheme="minorHAnsi"/>
                <w:sz w:val="16"/>
                <w:szCs w:val="16"/>
              </w:rPr>
              <w:t xml:space="preserve">dición 2025 del Programa de Alistamiento para la Inversión de Impacto, liderado por el Ministerio del Ambiente, donde </w:t>
            </w:r>
            <w:r w:rsidR="007A2B89" w:rsidRPr="00544664">
              <w:rPr>
                <w:rFonts w:asciiTheme="minorHAnsi" w:eastAsiaTheme="minorEastAsia" w:hAnsiTheme="minorHAnsi" w:cstheme="minorHAnsi"/>
                <w:sz w:val="16"/>
                <w:szCs w:val="16"/>
                <w:lang w:val="es-ES"/>
              </w:rPr>
              <w:t xml:space="preserve">07 organizaciones de productores de café y cacao culminaron </w:t>
            </w:r>
            <w:r w:rsidR="002E7865" w:rsidRPr="00544664">
              <w:rPr>
                <w:rFonts w:asciiTheme="minorHAnsi" w:eastAsiaTheme="minorEastAsia" w:hAnsiTheme="minorHAnsi" w:cstheme="minorHAnsi"/>
                <w:sz w:val="16"/>
                <w:szCs w:val="16"/>
                <w:lang w:val="es-ES"/>
              </w:rPr>
              <w:t>el programa</w:t>
            </w:r>
            <w:r w:rsidR="007A2B89" w:rsidRPr="00544664">
              <w:rPr>
                <w:rFonts w:asciiTheme="minorHAnsi" w:eastAsiaTheme="minorEastAsia" w:hAnsiTheme="minorHAnsi" w:cstheme="minorHAnsi"/>
                <w:sz w:val="16"/>
                <w:szCs w:val="16"/>
                <w:lang w:val="es-ES"/>
              </w:rPr>
              <w:t xml:space="preserve"> en el cual participaron 1</w:t>
            </w:r>
            <w:r w:rsidR="002E7865" w:rsidRPr="00544664">
              <w:rPr>
                <w:rFonts w:asciiTheme="minorHAnsi" w:eastAsiaTheme="minorEastAsia" w:hAnsiTheme="minorHAnsi" w:cstheme="minorHAnsi"/>
                <w:sz w:val="16"/>
                <w:szCs w:val="16"/>
                <w:lang w:val="es-ES"/>
              </w:rPr>
              <w:t>5</w:t>
            </w:r>
            <w:r w:rsidR="007A2B89" w:rsidRPr="00544664">
              <w:rPr>
                <w:rFonts w:asciiTheme="minorHAnsi" w:eastAsiaTheme="minorEastAsia" w:hAnsiTheme="minorHAnsi" w:cstheme="minorHAnsi"/>
                <w:sz w:val="16"/>
                <w:szCs w:val="16"/>
                <w:lang w:val="es-ES"/>
              </w:rPr>
              <w:t xml:space="preserve"> fondos de inversión</w:t>
            </w:r>
            <w:r w:rsidR="002E7865" w:rsidRPr="00544664">
              <w:rPr>
                <w:rFonts w:asciiTheme="minorHAnsi" w:eastAsiaTheme="minorEastAsia" w:hAnsiTheme="minorHAnsi" w:cstheme="minorHAnsi"/>
                <w:sz w:val="16"/>
                <w:szCs w:val="16"/>
                <w:lang w:val="es-ES"/>
              </w:rPr>
              <w:t>. El próximo año se continuará con el seguimiento post matchmaking a estas organizaciones.</w:t>
            </w:r>
          </w:p>
          <w:p w14:paraId="6AB0BEAB" w14:textId="77777777" w:rsidR="007F7C4A" w:rsidRPr="00544664" w:rsidRDefault="007F7C4A" w:rsidP="007F7C4A">
            <w:pPr>
              <w:pStyle w:val="Prrafodelista"/>
              <w:numPr>
                <w:ilvl w:val="0"/>
                <w:numId w:val="48"/>
              </w:numPr>
              <w:tabs>
                <w:tab w:val="left" w:pos="4680"/>
              </w:tabs>
              <w:ind w:left="455" w:hanging="284"/>
              <w:rPr>
                <w:rFonts w:asciiTheme="minorHAnsi" w:eastAsiaTheme="minorEastAsia" w:hAnsiTheme="minorHAnsi" w:cstheme="minorHAnsi"/>
                <w:sz w:val="16"/>
                <w:szCs w:val="16"/>
              </w:rPr>
            </w:pPr>
            <w:r w:rsidRPr="00544664">
              <w:rPr>
                <w:rFonts w:asciiTheme="minorHAnsi" w:hAnsiTheme="minorHAnsi" w:cstheme="minorHAnsi"/>
                <w:sz w:val="16"/>
                <w:szCs w:val="16"/>
              </w:rPr>
              <w:t>Se priorizó dar continuidad y apoyar la implementación del incentivo financiero para sistemas agroforestales del Fondo AgroPerú mediante cuatro promotores de crédito y un especialista que gestione el acceso al financiamiento estableciendo los criterios que requiere el proyecto, así como generar una guía con recomendaciones para las posteriores mejoras del incentivo. A la fecha estos servicios se encuentran en convocatoria.</w:t>
            </w:r>
          </w:p>
          <w:p w14:paraId="49A1F61D" w14:textId="77777777" w:rsidR="007F7C4A" w:rsidRPr="00544664" w:rsidRDefault="007F7C4A" w:rsidP="007F7C4A">
            <w:pPr>
              <w:pStyle w:val="Prrafodelista"/>
              <w:numPr>
                <w:ilvl w:val="0"/>
                <w:numId w:val="48"/>
              </w:numPr>
              <w:tabs>
                <w:tab w:val="left" w:pos="4680"/>
              </w:tabs>
              <w:ind w:left="455" w:hanging="284"/>
              <w:rPr>
                <w:rFonts w:asciiTheme="minorHAnsi" w:eastAsiaTheme="minorEastAsia" w:hAnsiTheme="minorHAnsi" w:cstheme="minorHAnsi"/>
                <w:sz w:val="16"/>
                <w:szCs w:val="16"/>
              </w:rPr>
            </w:pPr>
            <w:r w:rsidRPr="00544664">
              <w:rPr>
                <w:rFonts w:asciiTheme="minorHAnsi" w:hAnsiTheme="minorHAnsi" w:cstheme="minorHAnsi"/>
                <w:sz w:val="16"/>
                <w:szCs w:val="16"/>
              </w:rPr>
              <w:t>Por otro lado, se ha venido gestionando una alianza con APPCACAO para implementar las UNICA (Uniones de Crédito y Ahorro) que impulsa COFIDE, con la finalidad de apoyar el acceso a créditos propios con mujeres. Esa alianza se concretará en el 2026.</w:t>
            </w:r>
          </w:p>
          <w:p w14:paraId="5F58025D" w14:textId="09DD0DC8" w:rsidR="002E7865" w:rsidRPr="00D52A0C" w:rsidRDefault="007F7C4A" w:rsidP="008F04CB">
            <w:pPr>
              <w:pStyle w:val="Prrafodelista"/>
              <w:numPr>
                <w:ilvl w:val="0"/>
                <w:numId w:val="48"/>
              </w:numPr>
              <w:tabs>
                <w:tab w:val="left" w:pos="4680"/>
              </w:tabs>
              <w:ind w:left="455" w:hanging="284"/>
              <w:rPr>
                <w:rFonts w:asciiTheme="minorHAnsi" w:eastAsiaTheme="minorEastAsia" w:hAnsiTheme="minorHAnsi" w:cstheme="minorHAnsi"/>
                <w:sz w:val="16"/>
                <w:szCs w:val="16"/>
              </w:rPr>
            </w:pPr>
            <w:r w:rsidRPr="00544664">
              <w:rPr>
                <w:rFonts w:asciiTheme="minorHAnsi" w:hAnsiTheme="minorHAnsi" w:cstheme="minorHAnsi"/>
                <w:sz w:val="16"/>
                <w:szCs w:val="16"/>
              </w:rPr>
              <w:t>Además, en alianza con la Dirección de Financiamiento Ambiental del MINAM, en el marco del programa de bionegocios se ha programado para el 2026 brindar asistencia técnica en Amazonas y Cajamarca</w:t>
            </w:r>
            <w:r w:rsidR="00D52A0C">
              <w:rPr>
                <w:rFonts w:asciiTheme="minorHAnsi" w:hAnsiTheme="minorHAnsi" w:cstheme="minorHAnsi"/>
                <w:sz w:val="16"/>
                <w:szCs w:val="16"/>
              </w:rPr>
              <w:t>.</w:t>
            </w:r>
          </w:p>
        </w:tc>
        <w:tc>
          <w:tcPr>
            <w:tcW w:w="6520" w:type="dxa"/>
            <w:gridSpan w:val="6"/>
            <w:tcBorders>
              <w:bottom w:val="single" w:sz="4" w:space="0" w:color="auto"/>
            </w:tcBorders>
            <w:vAlign w:val="center"/>
          </w:tcPr>
          <w:p w14:paraId="682BF4F2" w14:textId="7000233C" w:rsidR="00544664" w:rsidRPr="00544664" w:rsidRDefault="00544664" w:rsidP="00544664">
            <w:pPr>
              <w:spacing w:after="0"/>
              <w:rPr>
                <w:rFonts w:asciiTheme="minorHAnsi" w:eastAsiaTheme="minorEastAsia" w:hAnsiTheme="minorHAnsi" w:cstheme="minorHAnsi"/>
                <w:sz w:val="16"/>
                <w:szCs w:val="16"/>
              </w:rPr>
            </w:pPr>
            <w:r w:rsidRPr="00544664">
              <w:rPr>
                <w:rFonts w:asciiTheme="minorHAnsi" w:eastAsiaTheme="minorEastAsia" w:hAnsiTheme="minorHAnsi" w:cstheme="minorHAnsi"/>
                <w:sz w:val="16"/>
                <w:szCs w:val="16"/>
              </w:rPr>
              <w:t xml:space="preserve">De manera complementaria, el 2025, se acompañó el fortalecimiento de capacidades en Eco y Bionegocios, del MINAM, por lo cual se realizó la capacitación a 23 funcionarios, especialistas y emprendedores de Amazonas sobre oportunidades para el acceso a financiamiento para fortalecer la competitividad y promover prácticas responsables con impacto social y ambiental. </w:t>
            </w:r>
          </w:p>
          <w:p w14:paraId="0296A45B" w14:textId="77777777" w:rsidR="00544664" w:rsidRPr="00544664" w:rsidRDefault="00544664" w:rsidP="008F04CB">
            <w:pPr>
              <w:tabs>
                <w:tab w:val="left" w:pos="4680"/>
              </w:tabs>
              <w:rPr>
                <w:rFonts w:asciiTheme="minorHAnsi" w:hAnsiTheme="minorHAnsi" w:cstheme="minorHAnsi"/>
                <w:sz w:val="16"/>
                <w:szCs w:val="16"/>
              </w:rPr>
            </w:pPr>
          </w:p>
          <w:p w14:paraId="4E5F95D5" w14:textId="11764DE2" w:rsidR="006F5B6E" w:rsidRPr="00544664" w:rsidRDefault="006F5B6E" w:rsidP="008F04CB">
            <w:pPr>
              <w:tabs>
                <w:tab w:val="left" w:pos="4680"/>
              </w:tabs>
              <w:rPr>
                <w:rFonts w:asciiTheme="minorHAnsi" w:hAnsiTheme="minorHAnsi" w:cstheme="minorHAnsi"/>
                <w:sz w:val="16"/>
                <w:szCs w:val="16"/>
              </w:rPr>
            </w:pPr>
            <w:r w:rsidRPr="00544664">
              <w:rPr>
                <w:rFonts w:asciiTheme="minorHAnsi" w:hAnsiTheme="minorHAnsi" w:cstheme="minorHAnsi"/>
                <w:sz w:val="16"/>
                <w:szCs w:val="16"/>
              </w:rPr>
              <w:t>Finalmente, también para el 2026, se ha planificado elaborar una cartera de proyectos de inversión para instituciones financieras, compradores e inversores interesados en apoyar la producción libre de deforestación.</w:t>
            </w:r>
          </w:p>
        </w:tc>
      </w:tr>
      <w:tr w:rsidR="00CD6B74" w:rsidRPr="00DE692F" w14:paraId="490C048B" w14:textId="77777777" w:rsidTr="005B7DD9">
        <w:trPr>
          <w:trHeight w:val="1190"/>
        </w:trPr>
        <w:tc>
          <w:tcPr>
            <w:tcW w:w="1702" w:type="dxa"/>
            <w:tcBorders>
              <w:bottom w:val="single" w:sz="4" w:space="0" w:color="auto"/>
            </w:tcBorders>
            <w:shd w:val="clear" w:color="auto" w:fill="D0CECE" w:themeFill="background2" w:themeFillShade="E6"/>
            <w:vAlign w:val="center"/>
          </w:tcPr>
          <w:p w14:paraId="643688EE" w14:textId="570049C7" w:rsidR="00CD6B74" w:rsidRPr="00DE692F" w:rsidRDefault="00CD6B74" w:rsidP="00CD6B74">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lastRenderedPageBreak/>
              <w:t>Producto 2.2.3</w:t>
            </w:r>
          </w:p>
        </w:tc>
        <w:tc>
          <w:tcPr>
            <w:tcW w:w="2400" w:type="dxa"/>
            <w:tcBorders>
              <w:bottom w:val="single" w:sz="4" w:space="0" w:color="auto"/>
            </w:tcBorders>
            <w:shd w:val="clear" w:color="auto" w:fill="D0CECE" w:themeFill="background2" w:themeFillShade="E6"/>
            <w:vAlign w:val="center"/>
          </w:tcPr>
          <w:p w14:paraId="1B2FEF00"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8F092FE"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6043D265"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4EB4868"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71457DD8"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11F9ACED"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26BB17A"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88463B1"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9F17D5B"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0062CFCC"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9CA8060"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18ABD6B8"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13590BAA" w14:textId="77777777" w:rsidR="00CD6B74" w:rsidRPr="00DE692F" w:rsidRDefault="00CD6B74" w:rsidP="00CD6B74">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5A2142C9" w14:textId="77777777" w:rsidR="00CD6B74" w:rsidRPr="00DE692F" w:rsidRDefault="00CD6B74" w:rsidP="00CD6B74">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EF781F" w:rsidRPr="00DE692F" w14:paraId="7D5FBF34" w14:textId="77777777" w:rsidTr="005B7DD9">
        <w:trPr>
          <w:trHeight w:val="688"/>
        </w:trPr>
        <w:tc>
          <w:tcPr>
            <w:tcW w:w="1702" w:type="dxa"/>
            <w:vAlign w:val="center"/>
          </w:tcPr>
          <w:p w14:paraId="6D171512" w14:textId="12303F32" w:rsidR="00EF781F" w:rsidRPr="00DE692F" w:rsidRDefault="00EF781F" w:rsidP="00EF781F">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Análisis de impacto económico focalizado a nivel de commodities / paisaje para apoyar el establecimiento de instrumentos financieros, asociaciones con el sector privado y reformas de políticas relacionadas con CLD, incluyendo aspectos de género, interculturales y transgeneracionales</w:t>
            </w:r>
          </w:p>
        </w:tc>
        <w:tc>
          <w:tcPr>
            <w:tcW w:w="2400" w:type="dxa"/>
            <w:vAlign w:val="center"/>
          </w:tcPr>
          <w:p w14:paraId="299045CE" w14:textId="43243694" w:rsidR="00EF781F" w:rsidRPr="00DE692F" w:rsidRDefault="0073496E" w:rsidP="00EF781F">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1ED2C9D4" w14:textId="7EE52887" w:rsidR="00EF781F" w:rsidRPr="00DE692F" w:rsidRDefault="00EF781F" w:rsidP="00EF781F">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17958343" w14:textId="57266F2F" w:rsidR="00EF781F" w:rsidRPr="00DE692F" w:rsidRDefault="0073496E" w:rsidP="00EF781F">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5DD9727C" w14:textId="4FB62282" w:rsidR="00EF781F" w:rsidRPr="00DE692F" w:rsidRDefault="00EF781F" w:rsidP="00EF781F">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7A09F462" w14:textId="656811AC" w:rsidR="00EF781F" w:rsidRPr="00DE692F" w:rsidRDefault="0073496E" w:rsidP="00EF781F">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r w:rsidR="00EF781F" w:rsidRPr="00DE692F">
              <w:rPr>
                <w:rFonts w:asciiTheme="minorHAnsi" w:eastAsiaTheme="minorEastAsia" w:hAnsiTheme="minorHAnsi" w:cstheme="minorHAnsi"/>
                <w:sz w:val="16"/>
                <w:szCs w:val="16"/>
              </w:rPr>
              <w:t>.</w:t>
            </w:r>
          </w:p>
        </w:tc>
        <w:tc>
          <w:tcPr>
            <w:tcW w:w="1147" w:type="dxa"/>
            <w:vAlign w:val="center"/>
          </w:tcPr>
          <w:p w14:paraId="6AF13EAC" w14:textId="1956A7E0" w:rsidR="00EF781F" w:rsidRPr="00DE692F" w:rsidRDefault="00EF781F" w:rsidP="00EF781F">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43FE3C0D" w14:textId="6DEF736D" w:rsidR="00EF781F" w:rsidRPr="00DE692F" w:rsidRDefault="00EF781F" w:rsidP="00EF781F">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0B52AA66" w14:textId="681F130A" w:rsidR="00EF781F" w:rsidRPr="00DE692F" w:rsidRDefault="00DF2AFE" w:rsidP="00EF781F">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20</w:t>
            </w:r>
            <w:r>
              <w:rPr>
                <w:rStyle w:val="Refdenotaalpie"/>
                <w:rFonts w:eastAsiaTheme="minorEastAsia" w:cstheme="minorHAnsi"/>
                <w:szCs w:val="16"/>
              </w:rPr>
              <w:footnoteReference w:id="24"/>
            </w:r>
          </w:p>
        </w:tc>
      </w:tr>
      <w:tr w:rsidR="00EF781F" w:rsidRPr="00DE692F" w14:paraId="259D46BF" w14:textId="77777777" w:rsidTr="005B7DD9">
        <w:trPr>
          <w:trHeight w:val="176"/>
        </w:trPr>
        <w:tc>
          <w:tcPr>
            <w:tcW w:w="11482" w:type="dxa"/>
            <w:gridSpan w:val="9"/>
            <w:shd w:val="clear" w:color="auto" w:fill="D0CECE" w:themeFill="background2" w:themeFillShade="E6"/>
            <w:vAlign w:val="center"/>
          </w:tcPr>
          <w:p w14:paraId="5D3717EA" w14:textId="77777777" w:rsidR="00EF781F" w:rsidRPr="00DE692F" w:rsidRDefault="00EF781F" w:rsidP="00EF781F">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EF781F" w:rsidRPr="00DE692F" w14:paraId="563FE345" w14:textId="77777777" w:rsidTr="005B7DD9">
        <w:trPr>
          <w:trHeight w:val="294"/>
        </w:trPr>
        <w:tc>
          <w:tcPr>
            <w:tcW w:w="1702" w:type="dxa"/>
            <w:vAlign w:val="center"/>
          </w:tcPr>
          <w:p w14:paraId="1DAFE5F4" w14:textId="1383364C" w:rsidR="00EF781F" w:rsidRPr="00DE692F" w:rsidRDefault="00EF781F" w:rsidP="00EF781F">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2.2.3.1</w:t>
            </w:r>
          </w:p>
        </w:tc>
        <w:tc>
          <w:tcPr>
            <w:tcW w:w="9780" w:type="dxa"/>
            <w:gridSpan w:val="8"/>
            <w:vAlign w:val="center"/>
          </w:tcPr>
          <w:p w14:paraId="00158FF2" w14:textId="4D7AFDF9" w:rsidR="00EF781F" w:rsidRPr="00DE692F" w:rsidRDefault="00EF781F" w:rsidP="00EF781F">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Evaluación de oportunidades para desarrollar esquemas de financiamiento combinado y bonos CLD a nivel de paisaje</w:t>
            </w:r>
          </w:p>
        </w:tc>
      </w:tr>
      <w:tr w:rsidR="00EF781F" w:rsidRPr="00DE692F" w14:paraId="1DB054C1" w14:textId="77777777" w:rsidTr="005B7DD9">
        <w:trPr>
          <w:trHeight w:val="256"/>
        </w:trPr>
        <w:tc>
          <w:tcPr>
            <w:tcW w:w="1702" w:type="dxa"/>
            <w:vAlign w:val="center"/>
          </w:tcPr>
          <w:p w14:paraId="6BFEBC49" w14:textId="044B5A12" w:rsidR="00EF781F" w:rsidRPr="00DE692F" w:rsidRDefault="00EF781F" w:rsidP="00EF781F">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2.2.3.2</w:t>
            </w:r>
          </w:p>
        </w:tc>
        <w:tc>
          <w:tcPr>
            <w:tcW w:w="9780" w:type="dxa"/>
            <w:gridSpan w:val="8"/>
            <w:vAlign w:val="center"/>
          </w:tcPr>
          <w:p w14:paraId="268A2B6A" w14:textId="5C3A65E2" w:rsidR="00EF781F" w:rsidRPr="00DE692F" w:rsidRDefault="00EF781F" w:rsidP="00EF781F">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Análisis de escenarios específicos (TSA) sobre el café</w:t>
            </w:r>
          </w:p>
        </w:tc>
      </w:tr>
      <w:tr w:rsidR="00EF781F" w:rsidRPr="00DE692F" w14:paraId="6E5F367E" w14:textId="77777777" w:rsidTr="005B7DD9">
        <w:trPr>
          <w:trHeight w:val="688"/>
        </w:trPr>
        <w:tc>
          <w:tcPr>
            <w:tcW w:w="4962" w:type="dxa"/>
            <w:gridSpan w:val="3"/>
            <w:tcBorders>
              <w:bottom w:val="single" w:sz="4" w:space="0" w:color="auto"/>
            </w:tcBorders>
            <w:vAlign w:val="center"/>
          </w:tcPr>
          <w:p w14:paraId="7A65A8E2" w14:textId="2D218041" w:rsidR="00EF781F" w:rsidRPr="00DE692F" w:rsidRDefault="006F5B6E" w:rsidP="00EF781F">
            <w:pPr>
              <w:tabs>
                <w:tab w:val="left" w:pos="4680"/>
              </w:tabs>
              <w:rPr>
                <w:rFonts w:asciiTheme="minorHAnsi" w:hAnsiTheme="minorHAnsi" w:cstheme="minorHAnsi"/>
                <w:sz w:val="16"/>
                <w:szCs w:val="16"/>
              </w:rPr>
            </w:pPr>
            <w:r>
              <w:rPr>
                <w:rFonts w:asciiTheme="minorHAnsi" w:hAnsiTheme="minorHAnsi" w:cstheme="minorHAnsi"/>
                <w:sz w:val="16"/>
                <w:szCs w:val="16"/>
              </w:rPr>
              <w:t>En coordinación con el PNUD y el asesor</w:t>
            </w:r>
            <w:r w:rsidR="00F05664">
              <w:rPr>
                <w:rFonts w:asciiTheme="minorHAnsi" w:hAnsiTheme="minorHAnsi" w:cstheme="minorHAnsi"/>
                <w:sz w:val="16"/>
                <w:szCs w:val="16"/>
              </w:rPr>
              <w:t xml:space="preserve"> técnico Global en Políticas y Análisis Económico – TSA del PNUD,</w:t>
            </w:r>
            <w:r>
              <w:rPr>
                <w:rFonts w:asciiTheme="minorHAnsi" w:hAnsiTheme="minorHAnsi" w:cstheme="minorHAnsi"/>
                <w:sz w:val="16"/>
                <w:szCs w:val="16"/>
              </w:rPr>
              <w:t xml:space="preserve"> fueron elaborados los términos de referencia para el s</w:t>
            </w:r>
            <w:r w:rsidR="00EF781F" w:rsidRPr="00DE692F">
              <w:rPr>
                <w:rFonts w:asciiTheme="minorHAnsi" w:hAnsiTheme="minorHAnsi" w:cstheme="minorHAnsi"/>
                <w:sz w:val="16"/>
                <w:szCs w:val="16"/>
              </w:rPr>
              <w:t>ervicio de Análisis Focalizado de escenarios para cadena de valor del café (Targeted Scenario Analysis - TSA)</w:t>
            </w:r>
            <w:r>
              <w:rPr>
                <w:rFonts w:asciiTheme="minorHAnsi" w:hAnsiTheme="minorHAnsi" w:cstheme="minorHAnsi"/>
                <w:sz w:val="16"/>
                <w:szCs w:val="16"/>
              </w:rPr>
              <w:t xml:space="preserve">. Asimismo, este especialista brindó capacitaciones a la UGP del proyecto, así como participó de reuniones con el </w:t>
            </w:r>
            <w:r w:rsidR="00F05664">
              <w:rPr>
                <w:rFonts w:asciiTheme="minorHAnsi" w:hAnsiTheme="minorHAnsi" w:cstheme="minorHAnsi"/>
                <w:sz w:val="16"/>
                <w:szCs w:val="16"/>
              </w:rPr>
              <w:t>director nacional</w:t>
            </w:r>
            <w:r>
              <w:rPr>
                <w:rFonts w:asciiTheme="minorHAnsi" w:hAnsiTheme="minorHAnsi" w:cstheme="minorHAnsi"/>
                <w:sz w:val="16"/>
                <w:szCs w:val="16"/>
              </w:rPr>
              <w:t xml:space="preserve"> del Proyecto FOLUR y con la contraparte del MIDAGRI (DG de </w:t>
            </w:r>
            <w:r w:rsidR="00F05664">
              <w:rPr>
                <w:rFonts w:asciiTheme="minorHAnsi" w:hAnsiTheme="minorHAnsi" w:cstheme="minorHAnsi"/>
                <w:sz w:val="16"/>
                <w:szCs w:val="16"/>
              </w:rPr>
              <w:t>Políticas Agrarias), quienes aceptaron llevar a cabo este estudio, aportando también en la mejora de los TdR.</w:t>
            </w:r>
          </w:p>
        </w:tc>
        <w:tc>
          <w:tcPr>
            <w:tcW w:w="6520" w:type="dxa"/>
            <w:gridSpan w:val="6"/>
            <w:tcBorders>
              <w:bottom w:val="single" w:sz="4" w:space="0" w:color="auto"/>
            </w:tcBorders>
            <w:vAlign w:val="center"/>
          </w:tcPr>
          <w:p w14:paraId="290CE2A2" w14:textId="2F0C25CB" w:rsidR="00EF781F" w:rsidRPr="00F05664" w:rsidRDefault="00F05664" w:rsidP="00EF781F">
            <w:pPr>
              <w:tabs>
                <w:tab w:val="left" w:pos="4680"/>
              </w:tabs>
              <w:rPr>
                <w:rFonts w:asciiTheme="minorHAnsi" w:eastAsiaTheme="minorEastAsia" w:hAnsiTheme="minorHAnsi" w:cstheme="minorHAnsi"/>
                <w:b/>
                <w:bCs/>
                <w:sz w:val="16"/>
                <w:szCs w:val="16"/>
              </w:rPr>
            </w:pPr>
            <w:r>
              <w:rPr>
                <w:rFonts w:asciiTheme="minorHAnsi" w:hAnsiTheme="minorHAnsi" w:cstheme="minorHAnsi"/>
                <w:sz w:val="16"/>
                <w:szCs w:val="16"/>
              </w:rPr>
              <w:t xml:space="preserve">Este servicio será priorizado para realizar la convocatoria al inicio del 2026. </w:t>
            </w:r>
          </w:p>
        </w:tc>
      </w:tr>
      <w:tr w:rsidR="00EF781F" w:rsidRPr="00DE692F" w14:paraId="577F009D"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1C9E0BCF" w14:textId="50C7157E" w:rsidR="00EF781F" w:rsidRPr="00DE692F" w:rsidRDefault="00EF781F" w:rsidP="00EF781F">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3:  </w:t>
            </w:r>
            <w:r w:rsidRPr="00DE692F">
              <w:rPr>
                <w:rFonts w:asciiTheme="minorHAnsi" w:eastAsiaTheme="minorEastAsia" w:hAnsiTheme="minorHAnsi" w:cstheme="minorHAnsi"/>
                <w:sz w:val="16"/>
                <w:szCs w:val="16"/>
              </w:rPr>
              <w:t>Reducir la pérdida de biodiversidad y restaurar ecosistemas, BAVC y hábitats naturales</w:t>
            </w:r>
          </w:p>
          <w:p w14:paraId="7637D8A4" w14:textId="493DE7D1" w:rsidR="00EF781F" w:rsidRPr="00DE692F" w:rsidRDefault="00EF781F" w:rsidP="00EF781F">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5:  </w:t>
            </w:r>
            <w:r w:rsidRPr="00DE692F">
              <w:rPr>
                <w:rFonts w:asciiTheme="minorHAnsi" w:eastAsiaTheme="minorEastAsia" w:hAnsiTheme="minorHAnsi" w:cstheme="minorHAnsi"/>
                <w:sz w:val="16"/>
                <w:szCs w:val="16"/>
              </w:rPr>
              <w:t>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   y áreas productivas en riesgo de degradación</w:t>
            </w:r>
          </w:p>
        </w:tc>
      </w:tr>
      <w:tr w:rsidR="00EF781F" w:rsidRPr="00DE692F" w14:paraId="5D47CD09" w14:textId="77777777" w:rsidTr="005B7DD9">
        <w:trPr>
          <w:trHeight w:val="1190"/>
        </w:trPr>
        <w:tc>
          <w:tcPr>
            <w:tcW w:w="1702" w:type="dxa"/>
            <w:tcBorders>
              <w:bottom w:val="single" w:sz="4" w:space="0" w:color="auto"/>
            </w:tcBorders>
            <w:shd w:val="clear" w:color="auto" w:fill="D0CECE" w:themeFill="background2" w:themeFillShade="E6"/>
            <w:vAlign w:val="center"/>
          </w:tcPr>
          <w:p w14:paraId="55BA7137" w14:textId="25F1B58E" w:rsidR="00EF781F" w:rsidRPr="00DE692F" w:rsidRDefault="00EF781F" w:rsidP="00EF781F">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3.1.1</w:t>
            </w:r>
          </w:p>
        </w:tc>
        <w:tc>
          <w:tcPr>
            <w:tcW w:w="2400" w:type="dxa"/>
            <w:tcBorders>
              <w:bottom w:val="single" w:sz="4" w:space="0" w:color="auto"/>
            </w:tcBorders>
            <w:shd w:val="clear" w:color="auto" w:fill="D0CECE" w:themeFill="background2" w:themeFillShade="E6"/>
            <w:vAlign w:val="center"/>
          </w:tcPr>
          <w:p w14:paraId="6C96251E"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71ADD71" w14:textId="39EC3556" w:rsidR="00EF781F" w:rsidRPr="00DE692F" w:rsidRDefault="00F501D4"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EF781F"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3CAE2778"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02D0442"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5A090D66"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2853EF74"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3715FE7F"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1D1214E"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2EF79F01"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6C9BB1E4"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2C047170"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4180A809"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7FBB2CA5" w14:textId="77777777" w:rsidR="00EF781F" w:rsidRPr="00DE692F" w:rsidRDefault="00EF781F" w:rsidP="00EF781F">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4AACABCE" w14:textId="77777777" w:rsidR="00EF781F" w:rsidRPr="00DE692F" w:rsidRDefault="00EF781F" w:rsidP="00EF781F">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4C1098EC" w14:textId="77777777" w:rsidTr="005B7DD9">
        <w:trPr>
          <w:trHeight w:val="688"/>
        </w:trPr>
        <w:tc>
          <w:tcPr>
            <w:tcW w:w="1702" w:type="dxa"/>
            <w:vAlign w:val="center"/>
          </w:tcPr>
          <w:p w14:paraId="2691ABE3" w14:textId="631BCE93"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Identificación, categorización y priorización de áreas degradadas a nivel regional, utilizando la </w:t>
            </w:r>
            <w:r w:rsidRPr="00DE692F">
              <w:rPr>
                <w:rFonts w:asciiTheme="minorHAnsi" w:eastAsiaTheme="minorEastAsia" w:hAnsiTheme="minorHAnsi" w:cstheme="minorHAnsi"/>
                <w:sz w:val="16"/>
                <w:szCs w:val="16"/>
              </w:rPr>
              <w:lastRenderedPageBreak/>
              <w:t>metodología MINAM (2022), incluyendo Bosques de Alto Valor de Conservación (BAVC) y corredores de conectividad</w:t>
            </w:r>
          </w:p>
        </w:tc>
        <w:tc>
          <w:tcPr>
            <w:tcW w:w="2400" w:type="dxa"/>
            <w:vAlign w:val="center"/>
          </w:tcPr>
          <w:p w14:paraId="3D7BE03B" w14:textId="32163687" w:rsidR="003656FC" w:rsidRPr="00DE692F" w:rsidRDefault="0071062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54561D2F" w14:textId="40126537"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06AA878B" w14:textId="5F1277F6" w:rsidR="003656FC" w:rsidRPr="00DE692F" w:rsidRDefault="0071062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571E8F73" w14:textId="19D29DF0" w:rsidR="003656FC" w:rsidRPr="00DE692F" w:rsidRDefault="00710628" w:rsidP="00710628">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4A721235" w14:textId="4A519873" w:rsidR="003656FC" w:rsidRPr="00DE692F" w:rsidRDefault="0071062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15315685" w14:textId="6BA0B642" w:rsidR="003656FC" w:rsidRPr="00DE692F" w:rsidRDefault="0071062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20D0E8F0" w14:textId="46D2929A" w:rsidR="003656FC" w:rsidRPr="00DE692F" w:rsidRDefault="0071062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0984F0A5" w14:textId="4023EDA9" w:rsidR="003656FC" w:rsidRPr="00DE692F" w:rsidRDefault="007A3ABA"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w:t>
            </w:r>
            <w:r w:rsidR="00710628">
              <w:rPr>
                <w:rFonts w:asciiTheme="minorHAnsi" w:eastAsiaTheme="minorEastAsia" w:hAnsiTheme="minorHAnsi" w:cstheme="minorHAnsi"/>
                <w:sz w:val="16"/>
                <w:szCs w:val="16"/>
              </w:rPr>
              <w:t>0</w:t>
            </w:r>
            <w:r w:rsidR="00F501D4">
              <w:rPr>
                <w:rStyle w:val="Refdenotaalpie"/>
                <w:rFonts w:eastAsiaTheme="minorEastAsia" w:cstheme="minorHAnsi"/>
                <w:szCs w:val="16"/>
              </w:rPr>
              <w:footnoteReference w:id="25"/>
            </w:r>
          </w:p>
        </w:tc>
      </w:tr>
      <w:tr w:rsidR="003656FC" w:rsidRPr="00DE692F" w14:paraId="046C5373" w14:textId="77777777" w:rsidTr="005B7DD9">
        <w:trPr>
          <w:trHeight w:val="176"/>
        </w:trPr>
        <w:tc>
          <w:tcPr>
            <w:tcW w:w="11482" w:type="dxa"/>
            <w:gridSpan w:val="9"/>
            <w:shd w:val="clear" w:color="auto" w:fill="D0CECE" w:themeFill="background2" w:themeFillShade="E6"/>
            <w:vAlign w:val="center"/>
          </w:tcPr>
          <w:p w14:paraId="33C76B4E"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2E1A96AE" w14:textId="77777777" w:rsidTr="005B7DD9">
        <w:trPr>
          <w:trHeight w:val="294"/>
        </w:trPr>
        <w:tc>
          <w:tcPr>
            <w:tcW w:w="1702" w:type="dxa"/>
            <w:vAlign w:val="center"/>
          </w:tcPr>
          <w:p w14:paraId="4ACA1A86" w14:textId="4E72FB73"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3.1.1.1</w:t>
            </w:r>
          </w:p>
        </w:tc>
        <w:tc>
          <w:tcPr>
            <w:tcW w:w="9780" w:type="dxa"/>
            <w:gridSpan w:val="8"/>
            <w:vAlign w:val="center"/>
          </w:tcPr>
          <w:p w14:paraId="466865EA" w14:textId="6086FC14"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mapas regionales de ecosistemas para los departamentos de Amazonas y Cajamarca</w:t>
            </w:r>
          </w:p>
        </w:tc>
      </w:tr>
      <w:tr w:rsidR="003656FC" w:rsidRPr="00DE692F" w14:paraId="42BD30D9" w14:textId="77777777" w:rsidTr="005B7DD9">
        <w:trPr>
          <w:trHeight w:val="256"/>
        </w:trPr>
        <w:tc>
          <w:tcPr>
            <w:tcW w:w="1702" w:type="dxa"/>
            <w:vAlign w:val="center"/>
          </w:tcPr>
          <w:p w14:paraId="4D134E6D" w14:textId="2C16DAF6"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3.1.1.2</w:t>
            </w:r>
          </w:p>
        </w:tc>
        <w:tc>
          <w:tcPr>
            <w:tcW w:w="9780" w:type="dxa"/>
            <w:gridSpan w:val="8"/>
            <w:vAlign w:val="center"/>
          </w:tcPr>
          <w:p w14:paraId="78B494CB" w14:textId="4A11E10E"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mapas de áreas degradadas para los departamentos de Amazonas y Cajamarca</w:t>
            </w:r>
          </w:p>
        </w:tc>
      </w:tr>
      <w:tr w:rsidR="003656FC" w:rsidRPr="00DE692F" w14:paraId="65FFC785" w14:textId="77777777" w:rsidTr="005B7DD9">
        <w:trPr>
          <w:trHeight w:val="232"/>
        </w:trPr>
        <w:tc>
          <w:tcPr>
            <w:tcW w:w="1702" w:type="dxa"/>
            <w:vAlign w:val="center"/>
          </w:tcPr>
          <w:p w14:paraId="0D873626" w14:textId="5F1A26AF"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3.1.1.3</w:t>
            </w:r>
          </w:p>
        </w:tc>
        <w:tc>
          <w:tcPr>
            <w:tcW w:w="9780" w:type="dxa"/>
            <w:gridSpan w:val="8"/>
            <w:vAlign w:val="center"/>
          </w:tcPr>
          <w:p w14:paraId="1734F74B" w14:textId="7102DEEF"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Análisis de conectividad ecológica, identificación de BAVC</w:t>
            </w:r>
          </w:p>
        </w:tc>
      </w:tr>
      <w:tr w:rsidR="003656FC" w:rsidRPr="00DE692F" w14:paraId="70782FD1" w14:textId="77777777" w:rsidTr="005B7DD9">
        <w:trPr>
          <w:trHeight w:val="232"/>
        </w:trPr>
        <w:tc>
          <w:tcPr>
            <w:tcW w:w="1702" w:type="dxa"/>
            <w:vAlign w:val="center"/>
          </w:tcPr>
          <w:p w14:paraId="6F07CD78" w14:textId="1C6546C3"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3.1.1.4</w:t>
            </w:r>
          </w:p>
        </w:tc>
        <w:tc>
          <w:tcPr>
            <w:tcW w:w="9780" w:type="dxa"/>
            <w:gridSpan w:val="8"/>
            <w:vAlign w:val="center"/>
          </w:tcPr>
          <w:p w14:paraId="1962703A" w14:textId="1B154A8F"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Servicio de estudio sobre el potencial de mitigación de GEI del proyecto FOLUR y propuesta de monitoreo de GEI</w:t>
            </w:r>
          </w:p>
        </w:tc>
      </w:tr>
      <w:tr w:rsidR="003656FC" w:rsidRPr="00DE692F" w14:paraId="087ECBE3" w14:textId="77777777" w:rsidTr="005B7DD9">
        <w:trPr>
          <w:trHeight w:val="688"/>
        </w:trPr>
        <w:tc>
          <w:tcPr>
            <w:tcW w:w="4962" w:type="dxa"/>
            <w:gridSpan w:val="3"/>
            <w:tcBorders>
              <w:bottom w:val="single" w:sz="4" w:space="0" w:color="auto"/>
            </w:tcBorders>
            <w:vAlign w:val="center"/>
          </w:tcPr>
          <w:p w14:paraId="707D08A9" w14:textId="547059EC" w:rsidR="003656FC" w:rsidRDefault="00710628"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Se concluyó con la elaboración de </w:t>
            </w:r>
            <w:r w:rsidR="003656FC" w:rsidRPr="00710628">
              <w:rPr>
                <w:rFonts w:asciiTheme="minorHAnsi" w:hAnsiTheme="minorHAnsi" w:cstheme="minorHAnsi"/>
                <w:sz w:val="16"/>
                <w:szCs w:val="16"/>
              </w:rPr>
              <w:t>l</w:t>
            </w:r>
            <w:r>
              <w:rPr>
                <w:rFonts w:asciiTheme="minorHAnsi" w:hAnsiTheme="minorHAnsi" w:cstheme="minorHAnsi"/>
                <w:sz w:val="16"/>
                <w:szCs w:val="16"/>
              </w:rPr>
              <w:t>os</w:t>
            </w:r>
            <w:r w:rsidR="003656FC" w:rsidRPr="00710628">
              <w:rPr>
                <w:rFonts w:asciiTheme="minorHAnsi" w:hAnsiTheme="minorHAnsi" w:cstheme="minorHAnsi"/>
                <w:sz w:val="16"/>
                <w:szCs w:val="16"/>
              </w:rPr>
              <w:t xml:space="preserve"> mapa</w:t>
            </w:r>
            <w:r>
              <w:rPr>
                <w:rFonts w:asciiTheme="minorHAnsi" w:hAnsiTheme="minorHAnsi" w:cstheme="minorHAnsi"/>
                <w:sz w:val="16"/>
                <w:szCs w:val="16"/>
              </w:rPr>
              <w:t>s</w:t>
            </w:r>
            <w:r w:rsidR="003656FC" w:rsidRPr="00710628">
              <w:rPr>
                <w:rFonts w:asciiTheme="minorHAnsi" w:hAnsiTheme="minorHAnsi" w:cstheme="minorHAnsi"/>
                <w:sz w:val="16"/>
                <w:szCs w:val="16"/>
              </w:rPr>
              <w:t xml:space="preserve"> de ecosistemas y de áreas degradadas de Amazonas,</w:t>
            </w:r>
            <w:r>
              <w:rPr>
                <w:rFonts w:asciiTheme="minorHAnsi" w:hAnsiTheme="minorHAnsi" w:cstheme="minorHAnsi"/>
                <w:sz w:val="16"/>
                <w:szCs w:val="16"/>
              </w:rPr>
              <w:t xml:space="preserve"> con estas herramientas se</w:t>
            </w:r>
            <w:r w:rsidR="003656FC" w:rsidRPr="00710628">
              <w:rPr>
                <w:rFonts w:asciiTheme="minorHAnsi" w:hAnsiTheme="minorHAnsi" w:cstheme="minorHAnsi"/>
                <w:sz w:val="16"/>
                <w:szCs w:val="16"/>
              </w:rPr>
              <w:t xml:space="preserve"> determinó que 128 683,30 ha pertenecen a degradación por factores directos, mientras que 1</w:t>
            </w:r>
            <w:r>
              <w:rPr>
                <w:rFonts w:asciiTheme="minorHAnsi" w:hAnsiTheme="minorHAnsi" w:cstheme="minorHAnsi"/>
                <w:sz w:val="16"/>
                <w:szCs w:val="16"/>
              </w:rPr>
              <w:t>’</w:t>
            </w:r>
            <w:r w:rsidR="003656FC" w:rsidRPr="00710628">
              <w:rPr>
                <w:rFonts w:asciiTheme="minorHAnsi" w:hAnsiTheme="minorHAnsi" w:cstheme="minorHAnsi"/>
                <w:sz w:val="16"/>
                <w:szCs w:val="16"/>
              </w:rPr>
              <w:t xml:space="preserve"> 062</w:t>
            </w:r>
            <w:r>
              <w:rPr>
                <w:rFonts w:asciiTheme="minorHAnsi" w:hAnsiTheme="minorHAnsi" w:cstheme="minorHAnsi"/>
                <w:sz w:val="16"/>
                <w:szCs w:val="16"/>
              </w:rPr>
              <w:t>,</w:t>
            </w:r>
            <w:r w:rsidR="003656FC" w:rsidRPr="00710628">
              <w:rPr>
                <w:rFonts w:asciiTheme="minorHAnsi" w:hAnsiTheme="minorHAnsi" w:cstheme="minorHAnsi"/>
                <w:sz w:val="16"/>
                <w:szCs w:val="16"/>
              </w:rPr>
              <w:t>911,30 ha corresponden a degradación indirecta, haciendo un total de 1</w:t>
            </w:r>
            <w:r>
              <w:rPr>
                <w:rFonts w:asciiTheme="minorHAnsi" w:hAnsiTheme="minorHAnsi" w:cstheme="minorHAnsi"/>
                <w:sz w:val="16"/>
                <w:szCs w:val="16"/>
              </w:rPr>
              <w:t>’</w:t>
            </w:r>
            <w:r w:rsidR="003656FC" w:rsidRPr="00710628">
              <w:rPr>
                <w:rFonts w:asciiTheme="minorHAnsi" w:hAnsiTheme="minorHAnsi" w:cstheme="minorHAnsi"/>
                <w:sz w:val="16"/>
                <w:szCs w:val="16"/>
              </w:rPr>
              <w:t xml:space="preserve"> 191</w:t>
            </w:r>
            <w:r>
              <w:rPr>
                <w:rFonts w:asciiTheme="minorHAnsi" w:hAnsiTheme="minorHAnsi" w:cstheme="minorHAnsi"/>
                <w:sz w:val="16"/>
                <w:szCs w:val="16"/>
              </w:rPr>
              <w:t>,</w:t>
            </w:r>
            <w:r w:rsidR="003656FC" w:rsidRPr="00710628">
              <w:rPr>
                <w:rFonts w:asciiTheme="minorHAnsi" w:hAnsiTheme="minorHAnsi" w:cstheme="minorHAnsi"/>
                <w:sz w:val="16"/>
                <w:szCs w:val="16"/>
              </w:rPr>
              <w:t xml:space="preserve">594 </w:t>
            </w:r>
            <w:r w:rsidRPr="00710628">
              <w:rPr>
                <w:rFonts w:asciiTheme="minorHAnsi" w:hAnsiTheme="minorHAnsi" w:cstheme="minorHAnsi"/>
                <w:sz w:val="16"/>
                <w:szCs w:val="16"/>
              </w:rPr>
              <w:t>hectáreas</w:t>
            </w:r>
            <w:r>
              <w:rPr>
                <w:rFonts w:asciiTheme="minorHAnsi" w:hAnsiTheme="minorHAnsi" w:cstheme="minorHAnsi"/>
                <w:sz w:val="16"/>
                <w:szCs w:val="16"/>
              </w:rPr>
              <w:t xml:space="preserve"> para este departamento.</w:t>
            </w:r>
          </w:p>
          <w:p w14:paraId="6784C827" w14:textId="61A01965" w:rsidR="003656FC" w:rsidRDefault="00710628" w:rsidP="00710628">
            <w:pPr>
              <w:tabs>
                <w:tab w:val="left" w:pos="4680"/>
              </w:tabs>
              <w:rPr>
                <w:rFonts w:asciiTheme="minorHAnsi" w:hAnsiTheme="minorHAnsi" w:cstheme="minorHAnsi"/>
                <w:sz w:val="16"/>
                <w:szCs w:val="16"/>
              </w:rPr>
            </w:pPr>
            <w:r>
              <w:rPr>
                <w:rFonts w:asciiTheme="minorHAnsi" w:hAnsiTheme="minorHAnsi" w:cstheme="minorHAnsi"/>
                <w:sz w:val="16"/>
                <w:szCs w:val="16"/>
              </w:rPr>
              <w:t xml:space="preserve">También se realizó un análisis SIG basado en una metodología desarrollada por el proyecto, con la cual se ha determinado </w:t>
            </w:r>
            <w:r w:rsidR="003656FC" w:rsidRPr="00710628">
              <w:rPr>
                <w:rFonts w:asciiTheme="minorHAnsi" w:hAnsiTheme="minorHAnsi" w:cstheme="minorHAnsi"/>
                <w:sz w:val="16"/>
                <w:szCs w:val="16"/>
              </w:rPr>
              <w:t>3</w:t>
            </w:r>
            <w:r>
              <w:rPr>
                <w:rFonts w:asciiTheme="minorHAnsi" w:hAnsiTheme="minorHAnsi" w:cstheme="minorHAnsi"/>
                <w:sz w:val="16"/>
                <w:szCs w:val="16"/>
              </w:rPr>
              <w:t>’</w:t>
            </w:r>
            <w:r w:rsidR="003656FC" w:rsidRPr="00710628">
              <w:rPr>
                <w:rFonts w:asciiTheme="minorHAnsi" w:hAnsiTheme="minorHAnsi" w:cstheme="minorHAnsi"/>
                <w:sz w:val="16"/>
                <w:szCs w:val="16"/>
              </w:rPr>
              <w:t>502,321.54 ha de BAVC</w:t>
            </w:r>
            <w:r>
              <w:rPr>
                <w:rFonts w:asciiTheme="minorHAnsi" w:hAnsiTheme="minorHAnsi" w:cstheme="minorHAnsi"/>
                <w:sz w:val="16"/>
                <w:szCs w:val="16"/>
              </w:rPr>
              <w:t>, fuera de ANP,</w:t>
            </w:r>
            <w:r w:rsidR="003656FC" w:rsidRPr="00710628">
              <w:rPr>
                <w:rFonts w:asciiTheme="minorHAnsi" w:hAnsiTheme="minorHAnsi" w:cstheme="minorHAnsi"/>
                <w:sz w:val="16"/>
                <w:szCs w:val="16"/>
              </w:rPr>
              <w:t xml:space="preserve"> en el </w:t>
            </w:r>
            <w:r w:rsidRPr="00710628">
              <w:rPr>
                <w:rFonts w:asciiTheme="minorHAnsi" w:hAnsiTheme="minorHAnsi" w:cstheme="minorHAnsi"/>
                <w:sz w:val="16"/>
                <w:szCs w:val="16"/>
              </w:rPr>
              <w:t>ámbito</w:t>
            </w:r>
            <w:r w:rsidR="003656FC" w:rsidRPr="00710628">
              <w:rPr>
                <w:rFonts w:asciiTheme="minorHAnsi" w:hAnsiTheme="minorHAnsi" w:cstheme="minorHAnsi"/>
                <w:sz w:val="16"/>
                <w:szCs w:val="16"/>
              </w:rPr>
              <w:t xml:space="preserve"> del Proyecto FOLUR</w:t>
            </w:r>
            <w:r>
              <w:rPr>
                <w:rFonts w:asciiTheme="minorHAnsi" w:hAnsiTheme="minorHAnsi" w:cstheme="minorHAnsi"/>
                <w:sz w:val="16"/>
                <w:szCs w:val="16"/>
              </w:rPr>
              <w:t>. Esta metodología fue socializada por la DGOTGIRN del MINAM quien brindó aportes para su mejora.</w:t>
            </w:r>
          </w:p>
          <w:p w14:paraId="4DCF6175" w14:textId="57E039D7" w:rsidR="003656FC" w:rsidRPr="00DE692F" w:rsidRDefault="00710628" w:rsidP="003656FC">
            <w:pPr>
              <w:tabs>
                <w:tab w:val="left" w:pos="4680"/>
              </w:tabs>
              <w:rPr>
                <w:rFonts w:asciiTheme="minorHAnsi" w:hAnsiTheme="minorHAnsi" w:cstheme="minorHAnsi"/>
                <w:sz w:val="16"/>
                <w:szCs w:val="16"/>
              </w:rPr>
            </w:pPr>
            <w:r>
              <w:rPr>
                <w:rFonts w:asciiTheme="minorHAnsi" w:hAnsiTheme="minorHAnsi" w:cstheme="minorHAnsi"/>
                <w:sz w:val="16"/>
                <w:szCs w:val="16"/>
              </w:rPr>
              <w:t>Se</w:t>
            </w:r>
            <w:r w:rsidRPr="00710628">
              <w:rPr>
                <w:rFonts w:asciiTheme="minorHAnsi" w:hAnsiTheme="minorHAnsi" w:cstheme="minorHAnsi"/>
                <w:sz w:val="16"/>
                <w:szCs w:val="16"/>
              </w:rPr>
              <w:t xml:space="preserve"> cuenta con el estudio de estimación, monitoreo y reporte de GEI del proyecto y su aporte a la implementación de 4 medidas de la NDC</w:t>
            </w:r>
            <w:r w:rsidR="00D80B8D">
              <w:rPr>
                <w:rFonts w:asciiTheme="minorHAnsi" w:hAnsiTheme="minorHAnsi" w:cstheme="minorHAnsi"/>
                <w:sz w:val="16"/>
                <w:szCs w:val="16"/>
              </w:rPr>
              <w:t>.</w:t>
            </w:r>
          </w:p>
        </w:tc>
        <w:tc>
          <w:tcPr>
            <w:tcW w:w="6520" w:type="dxa"/>
            <w:gridSpan w:val="6"/>
            <w:tcBorders>
              <w:bottom w:val="single" w:sz="4" w:space="0" w:color="auto"/>
            </w:tcBorders>
            <w:vAlign w:val="center"/>
          </w:tcPr>
          <w:p w14:paraId="23371BEB" w14:textId="33F4DC03" w:rsidR="00D80B8D" w:rsidRDefault="00D80B8D"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Se avanzó con la elaboración de los mapas de ecosistemas y de áreas degradadas del departamento de Cajamarca, a la fecha se cuenta con las propuestas de leyendas para ambos mapas, durante el 2026 se realizará el trabajo de campo y los talleres de socialización con lo cual se culminará la elaboración.</w:t>
            </w:r>
            <w:r w:rsidR="00D038FB">
              <w:rPr>
                <w:rFonts w:asciiTheme="minorHAnsi" w:eastAsiaTheme="minorEastAsia" w:hAnsiTheme="minorHAnsi" w:cstheme="minorHAnsi"/>
                <w:sz w:val="16"/>
                <w:szCs w:val="16"/>
              </w:rPr>
              <w:t xml:space="preserve"> </w:t>
            </w:r>
            <w:r w:rsidR="00D038FB" w:rsidRPr="00D038FB">
              <w:rPr>
                <w:rFonts w:asciiTheme="minorHAnsi" w:eastAsiaTheme="minorEastAsia" w:hAnsiTheme="minorHAnsi" w:cstheme="minorHAnsi"/>
                <w:sz w:val="16"/>
                <w:szCs w:val="16"/>
              </w:rPr>
              <w:t>No obstante, se ha identificado que los gobiernos regionales tienden a priorizar otras actividades frente a la elaboración de los mapas, pese a que en los espacios de socialización se evidencia la necesidad e importancia de estas herramientas para sustentar procesos de restauración.</w:t>
            </w:r>
          </w:p>
          <w:p w14:paraId="27DA9B26" w14:textId="105B95EF" w:rsidR="00710628" w:rsidRPr="00052376" w:rsidRDefault="00D80B8D"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Además, se mantuvieron diversas reuniones de coordinación con la Dirección General de Diversidad Biológica del MINAM y el SERNANP </w:t>
            </w:r>
            <w:r w:rsidR="00D038FB" w:rsidRPr="00D038FB">
              <w:rPr>
                <w:rFonts w:asciiTheme="minorHAnsi" w:eastAsiaTheme="minorEastAsia" w:hAnsiTheme="minorHAnsi" w:cstheme="minorHAnsi"/>
                <w:sz w:val="16"/>
                <w:szCs w:val="16"/>
              </w:rPr>
              <w:t>con el objetivo de recoger aportes técnicos para los análisis de conectividad. Como resultado, se vienen elaborando de forma conjunta los términos de referencia que serán ejecutados en 2026.</w:t>
            </w:r>
            <w:r w:rsidR="00D038FB">
              <w:rPr>
                <w:rFonts w:asciiTheme="minorHAnsi" w:eastAsiaTheme="minorEastAsia" w:hAnsiTheme="minorHAnsi" w:cstheme="minorHAnsi"/>
                <w:sz w:val="16"/>
                <w:szCs w:val="16"/>
              </w:rPr>
              <w:t xml:space="preserve">  Sin embargo, </w:t>
            </w:r>
            <w:r w:rsidR="00D038FB" w:rsidRPr="00D038FB">
              <w:rPr>
                <w:rFonts w:asciiTheme="minorHAnsi" w:eastAsiaTheme="minorEastAsia" w:hAnsiTheme="minorHAnsi" w:cstheme="minorHAnsi"/>
                <w:sz w:val="16"/>
                <w:szCs w:val="16"/>
              </w:rPr>
              <w:t xml:space="preserve">debido a la necesidad de coordinar con </w:t>
            </w:r>
            <w:r w:rsidR="00D038FB">
              <w:rPr>
                <w:rFonts w:asciiTheme="minorHAnsi" w:eastAsiaTheme="minorEastAsia" w:hAnsiTheme="minorHAnsi" w:cstheme="minorHAnsi"/>
                <w:sz w:val="16"/>
                <w:szCs w:val="16"/>
              </w:rPr>
              <w:t>varios</w:t>
            </w:r>
            <w:r w:rsidR="00D038FB" w:rsidRPr="00D038FB">
              <w:rPr>
                <w:rFonts w:asciiTheme="minorHAnsi" w:eastAsiaTheme="minorEastAsia" w:hAnsiTheme="minorHAnsi" w:cstheme="minorHAnsi"/>
                <w:sz w:val="16"/>
                <w:szCs w:val="16"/>
              </w:rPr>
              <w:t xml:space="preserve"> actores clave y contar con sus respectivas validaciones, estos procesos tienden a extenderse en el tiempo.</w:t>
            </w:r>
            <w:r>
              <w:rPr>
                <w:rFonts w:asciiTheme="minorHAnsi" w:hAnsiTheme="minorHAnsi" w:cstheme="minorHAnsi"/>
                <w:sz w:val="16"/>
                <w:szCs w:val="16"/>
              </w:rPr>
              <w:t xml:space="preserve"> </w:t>
            </w:r>
          </w:p>
        </w:tc>
      </w:tr>
      <w:tr w:rsidR="003656FC" w:rsidRPr="00DE692F" w14:paraId="4E95DB88" w14:textId="77777777" w:rsidTr="005B7DD9">
        <w:trPr>
          <w:trHeight w:val="1190"/>
        </w:trPr>
        <w:tc>
          <w:tcPr>
            <w:tcW w:w="1702" w:type="dxa"/>
            <w:tcBorders>
              <w:bottom w:val="single" w:sz="4" w:space="0" w:color="auto"/>
            </w:tcBorders>
            <w:shd w:val="clear" w:color="auto" w:fill="D0CECE" w:themeFill="background2" w:themeFillShade="E6"/>
            <w:vAlign w:val="center"/>
          </w:tcPr>
          <w:p w14:paraId="03607718" w14:textId="7DB83076"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3.1.2</w:t>
            </w:r>
          </w:p>
        </w:tc>
        <w:tc>
          <w:tcPr>
            <w:tcW w:w="2400" w:type="dxa"/>
            <w:tcBorders>
              <w:bottom w:val="single" w:sz="4" w:space="0" w:color="auto"/>
            </w:tcBorders>
            <w:shd w:val="clear" w:color="auto" w:fill="D0CECE" w:themeFill="background2" w:themeFillShade="E6"/>
            <w:vAlign w:val="center"/>
          </w:tcPr>
          <w:p w14:paraId="26C58CF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03BDB0E2" w14:textId="2C5F10B3" w:rsidR="003656FC" w:rsidRPr="00DE692F" w:rsidRDefault="00F501D4"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656F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1F3776B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DD20F3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6E9D93E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2E40F61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D2DA81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B96957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4AF0833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07E5D8E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17BED13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E6BEBE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5D4642C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B7DA7A8"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0349DF91" w14:textId="77777777" w:rsidTr="005B7DD9">
        <w:trPr>
          <w:trHeight w:val="688"/>
        </w:trPr>
        <w:tc>
          <w:tcPr>
            <w:tcW w:w="1702" w:type="dxa"/>
            <w:vAlign w:val="center"/>
          </w:tcPr>
          <w:p w14:paraId="6613C1DA" w14:textId="67929FFC"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acciones de restauración directa en tierras agrícolas, bosques y tierras forestales, entre otros</w:t>
            </w:r>
          </w:p>
        </w:tc>
        <w:tc>
          <w:tcPr>
            <w:tcW w:w="2400" w:type="dxa"/>
            <w:vAlign w:val="center"/>
          </w:tcPr>
          <w:p w14:paraId="1F00B30C" w14:textId="4FC90866" w:rsidR="003656FC" w:rsidRPr="00DE692F" w:rsidRDefault="003F0085"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78E18795" w14:textId="5D8F4243" w:rsidR="003656FC" w:rsidRPr="00DE692F" w:rsidRDefault="003F0085"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992" w:type="dxa"/>
            <w:vAlign w:val="center"/>
          </w:tcPr>
          <w:p w14:paraId="7F1B501E" w14:textId="08923FC1"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55DD8BCE" w14:textId="33859108"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2F492FE2" w14:textId="3968B666" w:rsidR="003656FC" w:rsidRPr="00DE692F" w:rsidRDefault="003F0085"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25BEC6F9" w14:textId="56AE28FE"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22E3F814" w14:textId="07633F43"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1EB0E4E5" w14:textId="0673CBB7" w:rsidR="003656FC" w:rsidRPr="00DE692F" w:rsidRDefault="007A3ABA"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w:t>
            </w:r>
            <w:r w:rsidR="00DF2AFE">
              <w:rPr>
                <w:rFonts w:asciiTheme="minorHAnsi" w:eastAsiaTheme="minorEastAsia" w:hAnsiTheme="minorHAnsi" w:cstheme="minorHAnsi"/>
                <w:sz w:val="16"/>
                <w:szCs w:val="16"/>
              </w:rPr>
              <w:t>0</w:t>
            </w:r>
            <w:r>
              <w:rPr>
                <w:rStyle w:val="Refdenotaalpie"/>
                <w:rFonts w:eastAsiaTheme="minorEastAsia" w:cstheme="minorHAnsi"/>
                <w:szCs w:val="16"/>
              </w:rPr>
              <w:footnoteReference w:id="26"/>
            </w:r>
            <w:r w:rsidR="003656FC" w:rsidRPr="00DE692F">
              <w:rPr>
                <w:rFonts w:asciiTheme="minorHAnsi" w:eastAsiaTheme="minorEastAsia" w:hAnsiTheme="minorHAnsi" w:cstheme="minorHAnsi"/>
                <w:sz w:val="16"/>
                <w:szCs w:val="16"/>
              </w:rPr>
              <w:t>%</w:t>
            </w:r>
          </w:p>
        </w:tc>
      </w:tr>
      <w:tr w:rsidR="003656FC" w:rsidRPr="00DE692F" w14:paraId="0FA8F815" w14:textId="77777777" w:rsidTr="005B7DD9">
        <w:trPr>
          <w:trHeight w:val="176"/>
        </w:trPr>
        <w:tc>
          <w:tcPr>
            <w:tcW w:w="11482" w:type="dxa"/>
            <w:gridSpan w:val="9"/>
            <w:shd w:val="clear" w:color="auto" w:fill="D0CECE" w:themeFill="background2" w:themeFillShade="E6"/>
            <w:vAlign w:val="center"/>
          </w:tcPr>
          <w:p w14:paraId="44125DE5"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16422724" w14:textId="77777777" w:rsidTr="005B7DD9">
        <w:trPr>
          <w:trHeight w:val="294"/>
        </w:trPr>
        <w:tc>
          <w:tcPr>
            <w:tcW w:w="1702" w:type="dxa"/>
            <w:vAlign w:val="center"/>
          </w:tcPr>
          <w:p w14:paraId="6041F899" w14:textId="0FFC2FD8"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3.1.2.1</w:t>
            </w:r>
          </w:p>
        </w:tc>
        <w:tc>
          <w:tcPr>
            <w:tcW w:w="9780" w:type="dxa"/>
            <w:gridSpan w:val="8"/>
            <w:vAlign w:val="center"/>
          </w:tcPr>
          <w:p w14:paraId="5DEADD8C" w14:textId="3E76716F"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Identificación de oportunidades de restauración directa y conservación</w:t>
            </w:r>
          </w:p>
        </w:tc>
      </w:tr>
      <w:tr w:rsidR="003656FC" w:rsidRPr="00DE692F" w14:paraId="6AC421A5" w14:textId="77777777" w:rsidTr="005B7DD9">
        <w:trPr>
          <w:trHeight w:val="256"/>
        </w:trPr>
        <w:tc>
          <w:tcPr>
            <w:tcW w:w="1702" w:type="dxa"/>
            <w:vAlign w:val="center"/>
          </w:tcPr>
          <w:p w14:paraId="02E45D68" w14:textId="763D7B6E"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3.1.2.2</w:t>
            </w:r>
          </w:p>
        </w:tc>
        <w:tc>
          <w:tcPr>
            <w:tcW w:w="9780" w:type="dxa"/>
            <w:gridSpan w:val="8"/>
            <w:vAlign w:val="center"/>
          </w:tcPr>
          <w:p w14:paraId="0DE023A5" w14:textId="20FF36A7"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Establecer acuerdos para la restauración directa y conservación</w:t>
            </w:r>
          </w:p>
        </w:tc>
      </w:tr>
      <w:tr w:rsidR="003656FC" w:rsidRPr="00DE692F" w14:paraId="750FEE9F" w14:textId="77777777" w:rsidTr="005B7DD9">
        <w:trPr>
          <w:trHeight w:val="232"/>
        </w:trPr>
        <w:tc>
          <w:tcPr>
            <w:tcW w:w="1702" w:type="dxa"/>
            <w:vAlign w:val="center"/>
          </w:tcPr>
          <w:p w14:paraId="014BAA56" w14:textId="5331C86B"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3.1.2.3</w:t>
            </w:r>
          </w:p>
        </w:tc>
        <w:tc>
          <w:tcPr>
            <w:tcW w:w="9780" w:type="dxa"/>
            <w:gridSpan w:val="8"/>
            <w:vAlign w:val="center"/>
          </w:tcPr>
          <w:p w14:paraId="4ED24E3A" w14:textId="6EB500D6"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Ejecución de acciones restauración directa y conservación</w:t>
            </w:r>
          </w:p>
        </w:tc>
      </w:tr>
      <w:tr w:rsidR="003656FC" w:rsidRPr="00DE692F" w14:paraId="16E60659" w14:textId="77777777" w:rsidTr="005B7DD9">
        <w:trPr>
          <w:trHeight w:val="688"/>
        </w:trPr>
        <w:tc>
          <w:tcPr>
            <w:tcW w:w="4962" w:type="dxa"/>
            <w:gridSpan w:val="3"/>
            <w:tcBorders>
              <w:bottom w:val="single" w:sz="4" w:space="0" w:color="auto"/>
            </w:tcBorders>
            <w:vAlign w:val="center"/>
          </w:tcPr>
          <w:p w14:paraId="13B526CF" w14:textId="77777777" w:rsidR="003656FC" w:rsidRPr="003F0085" w:rsidRDefault="003656FC" w:rsidP="003656FC">
            <w:pPr>
              <w:tabs>
                <w:tab w:val="left" w:pos="4680"/>
              </w:tabs>
              <w:rPr>
                <w:rFonts w:asciiTheme="minorHAnsi" w:hAnsiTheme="minorHAnsi" w:cstheme="minorHAnsi"/>
                <w:b/>
                <w:bCs/>
                <w:sz w:val="16"/>
                <w:szCs w:val="16"/>
              </w:rPr>
            </w:pPr>
            <w:r w:rsidRPr="003F0085">
              <w:rPr>
                <w:rFonts w:asciiTheme="minorHAnsi" w:hAnsiTheme="minorHAnsi" w:cstheme="minorHAnsi"/>
                <w:b/>
                <w:bCs/>
                <w:sz w:val="16"/>
                <w:szCs w:val="16"/>
              </w:rPr>
              <w:t>Logros completados:</w:t>
            </w:r>
          </w:p>
          <w:p w14:paraId="420798FE" w14:textId="642A5AEF" w:rsidR="003656FC" w:rsidRDefault="003656FC" w:rsidP="003656FC">
            <w:pPr>
              <w:tabs>
                <w:tab w:val="left" w:pos="4680"/>
              </w:tabs>
              <w:rPr>
                <w:rFonts w:asciiTheme="minorHAnsi" w:hAnsiTheme="minorHAnsi" w:cstheme="minorHAnsi"/>
                <w:sz w:val="16"/>
                <w:szCs w:val="16"/>
              </w:rPr>
            </w:pPr>
          </w:p>
          <w:p w14:paraId="71E9E2FB" w14:textId="28841228" w:rsidR="003F0085" w:rsidRPr="003F0085" w:rsidRDefault="003F0085" w:rsidP="00AB27DE">
            <w:pPr>
              <w:tabs>
                <w:tab w:val="left" w:pos="4680"/>
              </w:tabs>
              <w:rPr>
                <w:rFonts w:asciiTheme="minorHAnsi" w:hAnsiTheme="minorHAnsi" w:cstheme="minorHAnsi"/>
                <w:sz w:val="16"/>
                <w:szCs w:val="16"/>
              </w:rPr>
            </w:pPr>
            <w:r>
              <w:rPr>
                <w:rFonts w:asciiTheme="minorHAnsi" w:hAnsiTheme="minorHAnsi" w:cstheme="minorHAnsi"/>
                <w:sz w:val="16"/>
                <w:szCs w:val="16"/>
              </w:rPr>
              <w:t xml:space="preserve">Como parte del taller de capacitación en restauración realizado con APROCTUR, se </w:t>
            </w:r>
            <w:r w:rsidRPr="003F0085">
              <w:rPr>
                <w:rFonts w:asciiTheme="minorHAnsi" w:hAnsiTheme="minorHAnsi" w:cstheme="minorHAnsi"/>
                <w:sz w:val="16"/>
                <w:szCs w:val="16"/>
                <w:lang w:val="es-ES"/>
              </w:rPr>
              <w:t>instalaron más de 2,000 romerillos en el mencionado corredor turístico Cerro Mirador “El Tigre</w:t>
            </w:r>
            <w:r>
              <w:rPr>
                <w:rFonts w:asciiTheme="minorHAnsi" w:hAnsiTheme="minorHAnsi" w:cstheme="minorHAnsi"/>
                <w:sz w:val="16"/>
                <w:szCs w:val="16"/>
                <w:lang w:val="es-ES"/>
              </w:rPr>
              <w:t>”, ubicado en la zona de amortiguamiento del Santuario Nacional Tabaconas N</w:t>
            </w:r>
            <w:r w:rsidR="00AB27DE">
              <w:rPr>
                <w:rFonts w:asciiTheme="minorHAnsi" w:hAnsiTheme="minorHAnsi" w:cstheme="minorHAnsi"/>
                <w:sz w:val="16"/>
                <w:szCs w:val="16"/>
                <w:lang w:val="es-ES"/>
              </w:rPr>
              <w:t>a</w:t>
            </w:r>
            <w:r>
              <w:rPr>
                <w:rFonts w:asciiTheme="minorHAnsi" w:hAnsiTheme="minorHAnsi" w:cstheme="minorHAnsi"/>
                <w:sz w:val="16"/>
                <w:szCs w:val="16"/>
                <w:lang w:val="es-ES"/>
              </w:rPr>
              <w:t xml:space="preserve">mballe, se calcula una </w:t>
            </w:r>
            <w:r w:rsidR="00AB27DE">
              <w:rPr>
                <w:rFonts w:asciiTheme="minorHAnsi" w:hAnsiTheme="minorHAnsi" w:cstheme="minorHAnsi"/>
                <w:sz w:val="16"/>
                <w:szCs w:val="16"/>
                <w:lang w:val="es-ES"/>
              </w:rPr>
              <w:t>s</w:t>
            </w:r>
            <w:r w:rsidR="00AB27DE" w:rsidRPr="00AB27DE">
              <w:rPr>
                <w:rFonts w:asciiTheme="minorHAnsi" w:hAnsiTheme="minorHAnsi" w:cstheme="minorHAnsi"/>
                <w:sz w:val="16"/>
                <w:szCs w:val="16"/>
                <w:lang w:val="es-ES"/>
              </w:rPr>
              <w:t xml:space="preserve">uperficie </w:t>
            </w:r>
            <w:r w:rsidR="00AB27DE">
              <w:rPr>
                <w:rFonts w:asciiTheme="minorHAnsi" w:hAnsiTheme="minorHAnsi" w:cstheme="minorHAnsi"/>
                <w:sz w:val="16"/>
                <w:szCs w:val="16"/>
                <w:lang w:val="es-ES"/>
              </w:rPr>
              <w:t>en proceso de r</w:t>
            </w:r>
            <w:r w:rsidR="00AB27DE" w:rsidRPr="00AB27DE">
              <w:rPr>
                <w:rFonts w:asciiTheme="minorHAnsi" w:hAnsiTheme="minorHAnsi" w:cstheme="minorHAnsi"/>
                <w:sz w:val="16"/>
                <w:szCs w:val="16"/>
                <w:lang w:val="es-ES"/>
              </w:rPr>
              <w:t>estaura</w:t>
            </w:r>
            <w:r w:rsidR="00AB27DE">
              <w:rPr>
                <w:rFonts w:asciiTheme="minorHAnsi" w:hAnsiTheme="minorHAnsi" w:cstheme="minorHAnsi"/>
                <w:sz w:val="16"/>
                <w:szCs w:val="16"/>
                <w:lang w:val="es-ES"/>
              </w:rPr>
              <w:t xml:space="preserve">ción ecológica de </w:t>
            </w:r>
            <w:r w:rsidR="00AB27DE" w:rsidRPr="00AB27DE">
              <w:rPr>
                <w:rFonts w:asciiTheme="minorHAnsi" w:hAnsiTheme="minorHAnsi" w:cstheme="minorHAnsi"/>
                <w:sz w:val="16"/>
                <w:szCs w:val="16"/>
                <w:lang w:val="es-ES"/>
              </w:rPr>
              <w:t xml:space="preserve">21.38 </w:t>
            </w:r>
            <w:r w:rsidR="00AB27DE">
              <w:rPr>
                <w:rFonts w:asciiTheme="minorHAnsi" w:hAnsiTheme="minorHAnsi" w:cstheme="minorHAnsi"/>
                <w:sz w:val="16"/>
                <w:szCs w:val="16"/>
                <w:lang w:val="es-ES"/>
              </w:rPr>
              <w:t>hectáreas.</w:t>
            </w:r>
          </w:p>
          <w:p w14:paraId="7F42301C" w14:textId="34B5A6E7" w:rsidR="003F0085" w:rsidRPr="00DE692F" w:rsidRDefault="003F0085" w:rsidP="003656FC">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019D85F8" w14:textId="2DD6F7A0" w:rsidR="003656FC" w:rsidRPr="00BD7FF9"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Resultados no logrados:</w:t>
            </w:r>
          </w:p>
          <w:p w14:paraId="3B89E87F" w14:textId="53A0DFB5" w:rsidR="003F0085" w:rsidRPr="00BD7FF9" w:rsidRDefault="003F0085" w:rsidP="003656FC">
            <w:pPr>
              <w:tabs>
                <w:tab w:val="left" w:pos="4680"/>
              </w:tabs>
              <w:rPr>
                <w:rFonts w:asciiTheme="minorHAnsi" w:hAnsiTheme="minorHAnsi" w:cstheme="minorHAnsi"/>
                <w:sz w:val="16"/>
                <w:szCs w:val="16"/>
              </w:rPr>
            </w:pPr>
            <w:r w:rsidRPr="003F0085">
              <w:rPr>
                <w:rFonts w:asciiTheme="minorHAnsi" w:eastAsiaTheme="minorEastAsia" w:hAnsiTheme="minorHAnsi" w:cstheme="minorHAnsi"/>
                <w:sz w:val="16"/>
                <w:szCs w:val="16"/>
              </w:rPr>
              <w:t xml:space="preserve">El 2025 se priorizaron las acciones de restauración sistémica, sin embargo, se avanzó en paralelo con </w:t>
            </w:r>
            <w:r w:rsidRPr="003F0085">
              <w:rPr>
                <w:rFonts w:asciiTheme="minorHAnsi" w:hAnsiTheme="minorHAnsi" w:cstheme="minorHAnsi"/>
                <w:sz w:val="16"/>
                <w:szCs w:val="16"/>
              </w:rPr>
              <w:t xml:space="preserve">la elaboración de una metodología con la cual se priorizan áreas para restaurar en el ámbito del proyecto, esta información está siendo validada en campo </w:t>
            </w:r>
            <w:r>
              <w:rPr>
                <w:rFonts w:asciiTheme="minorHAnsi" w:hAnsiTheme="minorHAnsi" w:cstheme="minorHAnsi"/>
                <w:sz w:val="16"/>
                <w:szCs w:val="16"/>
              </w:rPr>
              <w:t>para</w:t>
            </w:r>
            <w:r w:rsidRPr="003F0085">
              <w:rPr>
                <w:rFonts w:asciiTheme="minorHAnsi" w:hAnsiTheme="minorHAnsi" w:cstheme="minorHAnsi"/>
                <w:sz w:val="16"/>
                <w:szCs w:val="16"/>
              </w:rPr>
              <w:t xml:space="preserve"> identificar los pilotos de restauración directa.</w:t>
            </w:r>
            <w:r>
              <w:rPr>
                <w:rFonts w:asciiTheme="minorHAnsi" w:hAnsiTheme="minorHAnsi" w:cstheme="minorHAnsi"/>
                <w:sz w:val="16"/>
                <w:szCs w:val="16"/>
              </w:rPr>
              <w:t xml:space="preserve"> Por ello, se avanzó con la elaboración de planes de trabajo con SERNANP, donde se identifican áreas potenciales para la restauración, incluyendo socios claves como APROCTUR, y el plan de trabajo con ORDEPIAA para apoyar a las comunidades nativas en el marco de la compensación de multas con actividades restauración directa.</w:t>
            </w:r>
          </w:p>
          <w:p w14:paraId="13293C22" w14:textId="2F541587" w:rsidR="003656FC" w:rsidRPr="00DE692F"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Obstáculos:</w:t>
            </w:r>
          </w:p>
          <w:p w14:paraId="293CA72C" w14:textId="372D174C" w:rsidR="00184633" w:rsidRPr="00DE692F" w:rsidRDefault="00AB27DE"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Mediante el trabajo realizado el 2025, se han identificado oportunidades para la </w:t>
            </w:r>
            <w:r w:rsidRPr="00AB27DE">
              <w:rPr>
                <w:rFonts w:asciiTheme="minorHAnsi" w:hAnsiTheme="minorHAnsi" w:cstheme="minorHAnsi"/>
                <w:sz w:val="16"/>
                <w:szCs w:val="16"/>
              </w:rPr>
              <w:t>restauración</w:t>
            </w:r>
            <w:r>
              <w:rPr>
                <w:rFonts w:asciiTheme="minorHAnsi" w:hAnsiTheme="minorHAnsi" w:cstheme="minorHAnsi"/>
                <w:sz w:val="16"/>
                <w:szCs w:val="16"/>
              </w:rPr>
              <w:t xml:space="preserve"> directa, encontrándose cooperativas que tienen las capacidades y experiencia</w:t>
            </w:r>
            <w:r w:rsidR="00184633">
              <w:rPr>
                <w:rFonts w:asciiTheme="minorHAnsi" w:hAnsiTheme="minorHAnsi" w:cstheme="minorHAnsi"/>
                <w:sz w:val="16"/>
                <w:szCs w:val="16"/>
              </w:rPr>
              <w:t xml:space="preserve"> necesaria</w:t>
            </w:r>
            <w:r>
              <w:rPr>
                <w:rFonts w:asciiTheme="minorHAnsi" w:hAnsiTheme="minorHAnsi" w:cstheme="minorHAnsi"/>
                <w:sz w:val="16"/>
                <w:szCs w:val="16"/>
              </w:rPr>
              <w:t xml:space="preserve"> para </w:t>
            </w:r>
            <w:r w:rsidR="00184633">
              <w:rPr>
                <w:rFonts w:asciiTheme="minorHAnsi" w:hAnsiTheme="minorHAnsi" w:cstheme="minorHAnsi"/>
                <w:sz w:val="16"/>
                <w:szCs w:val="16"/>
              </w:rPr>
              <w:t>llevar a cabo este tipo d</w:t>
            </w:r>
            <w:r>
              <w:rPr>
                <w:rFonts w:asciiTheme="minorHAnsi" w:hAnsiTheme="minorHAnsi" w:cstheme="minorHAnsi"/>
                <w:sz w:val="16"/>
                <w:szCs w:val="16"/>
              </w:rPr>
              <w:t>e trabajo. Sin embargo, debido a que estas actividades deben realizarse mediante un contrato con una persona jurídica, y</w:t>
            </w:r>
            <w:r w:rsidR="00184633">
              <w:rPr>
                <w:rFonts w:asciiTheme="minorHAnsi" w:hAnsiTheme="minorHAnsi" w:cstheme="minorHAnsi"/>
                <w:sz w:val="16"/>
                <w:szCs w:val="16"/>
              </w:rPr>
              <w:t xml:space="preserve"> que en el PRODOC </w:t>
            </w:r>
            <w:r>
              <w:rPr>
                <w:rFonts w:asciiTheme="minorHAnsi" w:hAnsiTheme="minorHAnsi" w:cstheme="minorHAnsi"/>
                <w:sz w:val="16"/>
                <w:szCs w:val="16"/>
              </w:rPr>
              <w:t xml:space="preserve">no se programaron donaciones para este componente, </w:t>
            </w:r>
            <w:r w:rsidR="00184633">
              <w:rPr>
                <w:rFonts w:asciiTheme="minorHAnsi" w:hAnsiTheme="minorHAnsi" w:cstheme="minorHAnsi"/>
                <w:sz w:val="16"/>
                <w:szCs w:val="16"/>
              </w:rPr>
              <w:t xml:space="preserve">se viene buscando socios implementadores que permitan un </w:t>
            </w:r>
            <w:r w:rsidR="00184633">
              <w:rPr>
                <w:rFonts w:asciiTheme="minorHAnsi" w:hAnsiTheme="minorHAnsi" w:cstheme="minorHAnsi"/>
                <w:sz w:val="16"/>
                <w:szCs w:val="16"/>
              </w:rPr>
              <w:lastRenderedPageBreak/>
              <w:t>proceso competitivo, y que no afecten ni limiten la participación de las cooperativas quienes son actor</w:t>
            </w:r>
            <w:r w:rsidR="00A5545D">
              <w:rPr>
                <w:rFonts w:asciiTheme="minorHAnsi" w:hAnsiTheme="minorHAnsi" w:cstheme="minorHAnsi"/>
                <w:sz w:val="16"/>
                <w:szCs w:val="16"/>
              </w:rPr>
              <w:t>p</w:t>
            </w:r>
            <w:r w:rsidR="00184633">
              <w:rPr>
                <w:rFonts w:asciiTheme="minorHAnsi" w:hAnsiTheme="minorHAnsi" w:cstheme="minorHAnsi"/>
                <w:sz w:val="16"/>
                <w:szCs w:val="16"/>
              </w:rPr>
              <w:t xml:space="preserve">es claves y cuentan con el potencial para contribuir con la restauración.  </w:t>
            </w:r>
            <w:r w:rsidR="003F0085">
              <w:rPr>
                <w:rFonts w:asciiTheme="minorHAnsi" w:hAnsiTheme="minorHAnsi" w:cstheme="minorHAnsi"/>
                <w:sz w:val="16"/>
                <w:szCs w:val="16"/>
              </w:rPr>
              <w:t xml:space="preserve"> </w:t>
            </w:r>
            <w:r w:rsidR="00074A42">
              <w:rPr>
                <w:rFonts w:asciiTheme="minorHAnsi" w:hAnsiTheme="minorHAnsi" w:cstheme="minorHAnsi"/>
                <w:sz w:val="16"/>
                <w:szCs w:val="16"/>
              </w:rPr>
              <w:t xml:space="preserve"> </w:t>
            </w:r>
          </w:p>
        </w:tc>
      </w:tr>
      <w:tr w:rsidR="003656FC" w:rsidRPr="00DE692F" w14:paraId="0C6C95D1" w14:textId="77777777" w:rsidTr="005B7DD9">
        <w:trPr>
          <w:trHeight w:val="1190"/>
        </w:trPr>
        <w:tc>
          <w:tcPr>
            <w:tcW w:w="1702" w:type="dxa"/>
            <w:tcBorders>
              <w:bottom w:val="single" w:sz="4" w:space="0" w:color="auto"/>
            </w:tcBorders>
            <w:shd w:val="clear" w:color="auto" w:fill="D0CECE" w:themeFill="background2" w:themeFillShade="E6"/>
            <w:vAlign w:val="center"/>
          </w:tcPr>
          <w:p w14:paraId="118E4320" w14:textId="749B833C"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3.1.3</w:t>
            </w:r>
          </w:p>
        </w:tc>
        <w:tc>
          <w:tcPr>
            <w:tcW w:w="2400" w:type="dxa"/>
            <w:tcBorders>
              <w:bottom w:val="single" w:sz="4" w:space="0" w:color="auto"/>
            </w:tcBorders>
            <w:shd w:val="clear" w:color="auto" w:fill="D0CECE" w:themeFill="background2" w:themeFillShade="E6"/>
            <w:vAlign w:val="center"/>
          </w:tcPr>
          <w:p w14:paraId="19B1DE5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7ABA6E4" w14:textId="52289B98" w:rsidR="003656FC" w:rsidRPr="00DE692F" w:rsidRDefault="00F501D4"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656F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6F2E594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6023306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41051AA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7BDCC28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5F1F758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54EDB18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DC1A72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9361B5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3BC4D8B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9B9B53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346A2B0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8011417"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1838D51D" w14:textId="77777777" w:rsidTr="005B7DD9">
        <w:trPr>
          <w:trHeight w:val="688"/>
        </w:trPr>
        <w:tc>
          <w:tcPr>
            <w:tcW w:w="1702" w:type="dxa"/>
            <w:vAlign w:val="center"/>
          </w:tcPr>
          <w:p w14:paraId="3CBC3623" w14:textId="16234B08"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acciones de restauración sistémica, incluyendo planes regionales de restauración, carteras de proyectos de inversión pública en restauración y promoción del MERESE (Mecanismos de Retribución por Servicios Ecosistémicos), entre otros</w:t>
            </w:r>
          </w:p>
        </w:tc>
        <w:tc>
          <w:tcPr>
            <w:tcW w:w="2400" w:type="dxa"/>
            <w:vAlign w:val="center"/>
          </w:tcPr>
          <w:p w14:paraId="1B75B3EF" w14:textId="7E4056EB" w:rsidR="003656FC" w:rsidRPr="00DE692F" w:rsidRDefault="007E6EFC"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0D849BCA" w14:textId="4EF22429"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33593E32" w14:textId="3A621BBA"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01B3C548" w14:textId="6FB264A0" w:rsidR="003656FC" w:rsidRPr="00DE692F" w:rsidRDefault="007E6EFC"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68A408B6" w14:textId="74278543" w:rsidR="003656FC" w:rsidRPr="00DE692F" w:rsidRDefault="007E6EFC"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77EF18BD" w14:textId="3F595733"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2A950DB6" w14:textId="1BD4335C"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333BCD1E" w14:textId="551F7F8F" w:rsidR="003656FC" w:rsidRPr="00DE692F" w:rsidRDefault="00440800"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25</w:t>
            </w:r>
            <w:r w:rsidR="007A3ABA">
              <w:rPr>
                <w:rStyle w:val="Refdenotaalpie"/>
                <w:rFonts w:eastAsiaTheme="minorEastAsia" w:cstheme="minorHAnsi"/>
                <w:szCs w:val="16"/>
              </w:rPr>
              <w:footnoteReference w:id="27"/>
            </w:r>
          </w:p>
        </w:tc>
      </w:tr>
      <w:tr w:rsidR="003656FC" w:rsidRPr="00DE692F" w14:paraId="5CAD6059" w14:textId="77777777" w:rsidTr="005B7DD9">
        <w:trPr>
          <w:trHeight w:val="176"/>
        </w:trPr>
        <w:tc>
          <w:tcPr>
            <w:tcW w:w="11482" w:type="dxa"/>
            <w:gridSpan w:val="9"/>
            <w:shd w:val="clear" w:color="auto" w:fill="D0CECE" w:themeFill="background2" w:themeFillShade="E6"/>
            <w:vAlign w:val="center"/>
          </w:tcPr>
          <w:p w14:paraId="57546B83"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496CAFC5" w14:textId="77777777" w:rsidTr="005B7DD9">
        <w:trPr>
          <w:trHeight w:val="294"/>
        </w:trPr>
        <w:tc>
          <w:tcPr>
            <w:tcW w:w="1702" w:type="dxa"/>
            <w:vAlign w:val="center"/>
          </w:tcPr>
          <w:p w14:paraId="0256156C" w14:textId="50529589"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3.1.3.1</w:t>
            </w:r>
          </w:p>
        </w:tc>
        <w:tc>
          <w:tcPr>
            <w:tcW w:w="9780" w:type="dxa"/>
            <w:gridSpan w:val="8"/>
            <w:vAlign w:val="center"/>
          </w:tcPr>
          <w:p w14:paraId="3B80709B" w14:textId="32E2CF52"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Plan de Restauración Regional incluyendo enfoques transversales (Amazonas, Cajamarca)</w:t>
            </w:r>
            <w:r w:rsidR="00A8598D">
              <w:rPr>
                <w:rFonts w:asciiTheme="minorHAnsi" w:eastAsiaTheme="minorEastAsia" w:hAnsiTheme="minorHAnsi" w:cstheme="minorHAnsi"/>
                <w:sz w:val="16"/>
                <w:szCs w:val="16"/>
              </w:rPr>
              <w:t>.</w:t>
            </w:r>
          </w:p>
        </w:tc>
      </w:tr>
      <w:tr w:rsidR="003656FC" w:rsidRPr="00DE692F" w14:paraId="6F38859F" w14:textId="77777777" w:rsidTr="005B7DD9">
        <w:trPr>
          <w:trHeight w:val="256"/>
        </w:trPr>
        <w:tc>
          <w:tcPr>
            <w:tcW w:w="1702" w:type="dxa"/>
            <w:vAlign w:val="center"/>
          </w:tcPr>
          <w:p w14:paraId="699FF1A7" w14:textId="22006420"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3.1.3.2</w:t>
            </w:r>
          </w:p>
        </w:tc>
        <w:tc>
          <w:tcPr>
            <w:tcW w:w="9780" w:type="dxa"/>
            <w:gridSpan w:val="8"/>
            <w:vAlign w:val="center"/>
          </w:tcPr>
          <w:p w14:paraId="380692BF" w14:textId="67B20125"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cartera de inversiones (idea de proyecto) tipologías relacionadas a la recuperación/restauración de ecosistemas, para el cierre de brechas de los sectores Ambiente y Agricultura y Riego</w:t>
            </w:r>
            <w:r w:rsidR="00A8598D">
              <w:rPr>
                <w:rFonts w:asciiTheme="minorHAnsi" w:eastAsiaTheme="minorEastAsia" w:hAnsiTheme="minorHAnsi" w:cstheme="minorHAnsi"/>
                <w:sz w:val="16"/>
                <w:szCs w:val="16"/>
              </w:rPr>
              <w:t>.</w:t>
            </w:r>
          </w:p>
        </w:tc>
      </w:tr>
      <w:tr w:rsidR="003656FC" w:rsidRPr="00DE692F" w14:paraId="5339780D" w14:textId="77777777" w:rsidTr="00DB0E36">
        <w:trPr>
          <w:trHeight w:val="70"/>
        </w:trPr>
        <w:tc>
          <w:tcPr>
            <w:tcW w:w="1702" w:type="dxa"/>
            <w:vAlign w:val="center"/>
          </w:tcPr>
          <w:p w14:paraId="2C3CDF2A" w14:textId="6CFC8E51"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3.1.3.3</w:t>
            </w:r>
          </w:p>
        </w:tc>
        <w:tc>
          <w:tcPr>
            <w:tcW w:w="9780" w:type="dxa"/>
            <w:gridSpan w:val="8"/>
            <w:vAlign w:val="center"/>
          </w:tcPr>
          <w:p w14:paraId="364A15F7" w14:textId="7EBE5AE5"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Fortalecimiento del sector ambiente y/o Agricultura para la ejecución física y financiera de la restauración, articulación de</w:t>
            </w:r>
            <w:r w:rsidR="00A8598D">
              <w:rPr>
                <w:rFonts w:asciiTheme="minorHAnsi" w:eastAsiaTheme="minorEastAsia" w:hAnsiTheme="minorHAnsi" w:cstheme="minorHAnsi"/>
                <w:sz w:val="16"/>
                <w:szCs w:val="16"/>
              </w:rPr>
              <w:t>l</w:t>
            </w:r>
            <w:r w:rsidRPr="00DE692F">
              <w:rPr>
                <w:rFonts w:asciiTheme="minorHAnsi" w:eastAsiaTheme="minorEastAsia" w:hAnsiTheme="minorHAnsi" w:cstheme="minorHAnsi"/>
                <w:sz w:val="16"/>
                <w:szCs w:val="16"/>
              </w:rPr>
              <w:t xml:space="preserve"> PP 144 PP 144, PP 057, PP 089 (u otro vinculado a restauración de áreas agrícolas de café y cacao)</w:t>
            </w:r>
            <w:r w:rsidR="00A8598D">
              <w:rPr>
                <w:rFonts w:asciiTheme="minorHAnsi" w:eastAsiaTheme="minorEastAsia" w:hAnsiTheme="minorHAnsi" w:cstheme="minorHAnsi"/>
                <w:sz w:val="16"/>
                <w:szCs w:val="16"/>
              </w:rPr>
              <w:t>.</w:t>
            </w:r>
          </w:p>
        </w:tc>
      </w:tr>
      <w:tr w:rsidR="003656FC" w:rsidRPr="00DE692F" w14:paraId="732AE1F6" w14:textId="77777777" w:rsidTr="005B7DD9">
        <w:trPr>
          <w:trHeight w:val="232"/>
        </w:trPr>
        <w:tc>
          <w:tcPr>
            <w:tcW w:w="1702" w:type="dxa"/>
            <w:vAlign w:val="center"/>
          </w:tcPr>
          <w:p w14:paraId="666B159A" w14:textId="25D27F6E"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3.1.3.4</w:t>
            </w:r>
          </w:p>
        </w:tc>
        <w:tc>
          <w:tcPr>
            <w:tcW w:w="9780" w:type="dxa"/>
            <w:gridSpan w:val="8"/>
            <w:vAlign w:val="center"/>
          </w:tcPr>
          <w:p w14:paraId="3528A411" w14:textId="4A6AD01A"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Articulación con el componente 2 sobre paquetes técnicos y fondos concursable</w:t>
            </w:r>
            <w:r w:rsidR="00A8598D">
              <w:rPr>
                <w:rFonts w:asciiTheme="minorHAnsi" w:eastAsiaTheme="minorEastAsia" w:hAnsiTheme="minorHAnsi" w:cstheme="minorHAnsi"/>
                <w:sz w:val="16"/>
                <w:szCs w:val="16"/>
              </w:rPr>
              <w:t>.</w:t>
            </w:r>
          </w:p>
        </w:tc>
      </w:tr>
      <w:tr w:rsidR="003656FC" w:rsidRPr="00DE692F" w14:paraId="47F58C76" w14:textId="77777777" w:rsidTr="005B7DD9">
        <w:trPr>
          <w:trHeight w:val="688"/>
        </w:trPr>
        <w:tc>
          <w:tcPr>
            <w:tcW w:w="4962" w:type="dxa"/>
            <w:gridSpan w:val="3"/>
            <w:tcBorders>
              <w:bottom w:val="single" w:sz="4" w:space="0" w:color="auto"/>
            </w:tcBorders>
            <w:vAlign w:val="center"/>
          </w:tcPr>
          <w:p w14:paraId="7FB1C042" w14:textId="77777777" w:rsidR="003656FC" w:rsidRPr="00DE692F" w:rsidRDefault="003656FC" w:rsidP="003656FC">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4C1BF9D9" w14:textId="0FE14F23" w:rsidR="003656FC" w:rsidRPr="00DE692F" w:rsidRDefault="007E6EFC" w:rsidP="003656FC">
            <w:pPr>
              <w:tabs>
                <w:tab w:val="left" w:pos="4680"/>
              </w:tabs>
              <w:rPr>
                <w:rFonts w:asciiTheme="minorHAnsi" w:hAnsiTheme="minorHAnsi" w:cstheme="minorHAnsi"/>
                <w:sz w:val="16"/>
                <w:szCs w:val="16"/>
              </w:rPr>
            </w:pPr>
            <w:r>
              <w:rPr>
                <w:rFonts w:asciiTheme="minorHAnsi" w:hAnsiTheme="minorHAnsi" w:cstheme="minorHAnsi"/>
                <w:sz w:val="16"/>
                <w:szCs w:val="16"/>
              </w:rPr>
              <w:t>Se apoyó la asistencia técnica que brinda la Dirección General de Diversidad Biológica (DGDB) del MINAM a los gobiernos regionales de San Martín y Amazonas, en el programa presupuestal 144. Adicionalmente, se facilitó la participación de diferentes actores del ámbito del proyecto y de la DGDB para el desarrollo del T</w:t>
            </w:r>
            <w:r w:rsidR="003656FC" w:rsidRPr="00DE692F">
              <w:rPr>
                <w:rFonts w:asciiTheme="minorHAnsi" w:hAnsiTheme="minorHAnsi" w:cstheme="minorHAnsi"/>
                <w:sz w:val="16"/>
                <w:szCs w:val="16"/>
              </w:rPr>
              <w:t xml:space="preserve">aller macro regional para programación de PP144 (DGDB) con </w:t>
            </w:r>
            <w:r>
              <w:rPr>
                <w:rFonts w:asciiTheme="minorHAnsi" w:hAnsiTheme="minorHAnsi" w:cstheme="minorHAnsi"/>
                <w:sz w:val="16"/>
                <w:szCs w:val="16"/>
              </w:rPr>
              <w:t xml:space="preserve">los </w:t>
            </w:r>
            <w:r w:rsidR="003656FC" w:rsidRPr="00DE692F">
              <w:rPr>
                <w:rFonts w:asciiTheme="minorHAnsi" w:hAnsiTheme="minorHAnsi" w:cstheme="minorHAnsi"/>
                <w:sz w:val="16"/>
                <w:szCs w:val="16"/>
              </w:rPr>
              <w:t>GORE Cajamarca, La Libertad, Piura y Tumbes</w:t>
            </w:r>
            <w:r w:rsidR="00074A42">
              <w:rPr>
                <w:rFonts w:asciiTheme="minorHAnsi" w:hAnsiTheme="minorHAnsi" w:cstheme="minorHAnsi"/>
                <w:sz w:val="16"/>
                <w:szCs w:val="16"/>
              </w:rPr>
              <w:t>.</w:t>
            </w:r>
          </w:p>
          <w:p w14:paraId="4F2B86A3" w14:textId="03AA287B" w:rsidR="003656FC" w:rsidRPr="00DE692F" w:rsidRDefault="007E6EFC" w:rsidP="007E6EFC">
            <w:pPr>
              <w:tabs>
                <w:tab w:val="left" w:pos="4680"/>
              </w:tabs>
              <w:rPr>
                <w:rFonts w:asciiTheme="minorHAnsi" w:hAnsiTheme="minorHAnsi" w:cstheme="minorHAnsi"/>
                <w:sz w:val="16"/>
                <w:szCs w:val="16"/>
              </w:rPr>
            </w:pPr>
            <w:r>
              <w:rPr>
                <w:rFonts w:asciiTheme="minorHAnsi" w:hAnsiTheme="minorHAnsi" w:cstheme="minorHAnsi"/>
                <w:sz w:val="16"/>
                <w:szCs w:val="16"/>
              </w:rPr>
              <w:t>Se viene realizando la c</w:t>
            </w:r>
            <w:r w:rsidR="003656FC" w:rsidRPr="00DE692F">
              <w:rPr>
                <w:rFonts w:asciiTheme="minorHAnsi" w:hAnsiTheme="minorHAnsi" w:cstheme="minorHAnsi"/>
                <w:sz w:val="16"/>
                <w:szCs w:val="16"/>
              </w:rPr>
              <w:t xml:space="preserve">onsultoría </w:t>
            </w:r>
            <w:r>
              <w:rPr>
                <w:rFonts w:asciiTheme="minorHAnsi" w:hAnsiTheme="minorHAnsi" w:cstheme="minorHAnsi"/>
                <w:sz w:val="16"/>
                <w:szCs w:val="16"/>
              </w:rPr>
              <w:t>para la elaboración de una cartera de inversiones para la i</w:t>
            </w:r>
            <w:r w:rsidR="003656FC" w:rsidRPr="00DE692F">
              <w:rPr>
                <w:rFonts w:asciiTheme="minorHAnsi" w:hAnsiTheme="minorHAnsi" w:cstheme="minorHAnsi"/>
                <w:sz w:val="16"/>
                <w:szCs w:val="16"/>
              </w:rPr>
              <w:t>dentificación, gestión y promoción de Inversiones en</w:t>
            </w:r>
            <w:r>
              <w:rPr>
                <w:rFonts w:asciiTheme="minorHAnsi" w:hAnsiTheme="minorHAnsi" w:cstheme="minorHAnsi"/>
                <w:sz w:val="16"/>
                <w:szCs w:val="16"/>
              </w:rPr>
              <w:t xml:space="preserve"> recuperación de la</w:t>
            </w:r>
            <w:r w:rsidR="003656FC" w:rsidRPr="00DE692F">
              <w:rPr>
                <w:rFonts w:asciiTheme="minorHAnsi" w:hAnsiTheme="minorHAnsi" w:cstheme="minorHAnsi"/>
                <w:sz w:val="16"/>
                <w:szCs w:val="16"/>
              </w:rPr>
              <w:t xml:space="preserve"> Infraestructura Natural con Potencial Ampliación del Mecanismo de Obras por Impuestos (OxI). </w:t>
            </w:r>
            <w:r>
              <w:rPr>
                <w:rFonts w:asciiTheme="minorHAnsi" w:hAnsiTheme="minorHAnsi" w:cstheme="minorHAnsi"/>
                <w:sz w:val="16"/>
                <w:szCs w:val="16"/>
              </w:rPr>
              <w:t xml:space="preserve">A diciembre, </w:t>
            </w:r>
            <w:r w:rsidR="003656FC" w:rsidRPr="00DE692F">
              <w:rPr>
                <w:rFonts w:asciiTheme="minorHAnsi" w:hAnsiTheme="minorHAnsi" w:cstheme="minorHAnsi"/>
                <w:sz w:val="16"/>
                <w:szCs w:val="16"/>
              </w:rPr>
              <w:t>se identifica</w:t>
            </w:r>
            <w:r>
              <w:rPr>
                <w:rFonts w:asciiTheme="minorHAnsi" w:hAnsiTheme="minorHAnsi" w:cstheme="minorHAnsi"/>
                <w:sz w:val="16"/>
                <w:szCs w:val="16"/>
              </w:rPr>
              <w:t>ron</w:t>
            </w:r>
            <w:r w:rsidR="003656FC" w:rsidRPr="00DE692F">
              <w:rPr>
                <w:rFonts w:asciiTheme="minorHAnsi" w:hAnsiTheme="minorHAnsi" w:cstheme="minorHAnsi"/>
                <w:sz w:val="16"/>
                <w:szCs w:val="16"/>
              </w:rPr>
              <w:t xml:space="preserve"> 05 PIP con potencial para implementación de OXI en la tipología de recuperación de ecosistemas ubicados en los departamentos de Cajamarca, Amazonas y San Martin</w:t>
            </w:r>
            <w:r>
              <w:rPr>
                <w:rFonts w:asciiTheme="minorHAnsi" w:hAnsiTheme="minorHAnsi" w:cstheme="minorHAnsi"/>
                <w:sz w:val="16"/>
                <w:szCs w:val="16"/>
              </w:rPr>
              <w:t>, con un área potencial para la restauración de</w:t>
            </w:r>
            <w:r w:rsidR="003656FC" w:rsidRPr="00DE692F">
              <w:rPr>
                <w:rFonts w:asciiTheme="minorHAnsi" w:hAnsiTheme="minorHAnsi" w:cstheme="minorHAnsi"/>
                <w:sz w:val="16"/>
                <w:szCs w:val="16"/>
              </w:rPr>
              <w:t xml:space="preserve"> 2</w:t>
            </w:r>
            <w:r>
              <w:rPr>
                <w:rFonts w:asciiTheme="minorHAnsi" w:hAnsiTheme="minorHAnsi" w:cstheme="minorHAnsi"/>
                <w:sz w:val="16"/>
                <w:szCs w:val="16"/>
              </w:rPr>
              <w:t>,</w:t>
            </w:r>
            <w:r w:rsidR="003656FC" w:rsidRPr="00DE692F">
              <w:rPr>
                <w:rFonts w:asciiTheme="minorHAnsi" w:hAnsiTheme="minorHAnsi" w:cstheme="minorHAnsi"/>
                <w:sz w:val="16"/>
                <w:szCs w:val="16"/>
              </w:rPr>
              <w:t>560 hectáreas.</w:t>
            </w:r>
          </w:p>
        </w:tc>
        <w:tc>
          <w:tcPr>
            <w:tcW w:w="6520" w:type="dxa"/>
            <w:gridSpan w:val="6"/>
            <w:tcBorders>
              <w:bottom w:val="single" w:sz="4" w:space="0" w:color="auto"/>
            </w:tcBorders>
            <w:vAlign w:val="center"/>
          </w:tcPr>
          <w:p w14:paraId="125BEF30" w14:textId="77777777" w:rsidR="003656FC" w:rsidRPr="00DE692F"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Resultados no logrados:</w:t>
            </w:r>
          </w:p>
          <w:p w14:paraId="5E81E2AC" w14:textId="081F5294" w:rsidR="003656FC" w:rsidRDefault="00074A42"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El gobierno regional de </w:t>
            </w:r>
            <w:r w:rsidR="00E2660D">
              <w:rPr>
                <w:rFonts w:asciiTheme="minorHAnsi" w:eastAsiaTheme="minorEastAsia" w:hAnsiTheme="minorHAnsi" w:cstheme="minorHAnsi"/>
                <w:sz w:val="16"/>
                <w:szCs w:val="16"/>
              </w:rPr>
              <w:t>Amazonas</w:t>
            </w:r>
            <w:r>
              <w:rPr>
                <w:rFonts w:asciiTheme="minorHAnsi" w:eastAsiaTheme="minorEastAsia" w:hAnsiTheme="minorHAnsi" w:cstheme="minorHAnsi"/>
                <w:sz w:val="16"/>
                <w:szCs w:val="16"/>
              </w:rPr>
              <w:t xml:space="preserve"> tiene pendiente la aprobación de los mapas de ecosistemas y de áreas degradadas, que son el insumo principal para los planes de restauración. En el caso de Cajamarca, a diciembre 2025, los mapas continúan en elaboración. Por ello, no fue posible avanzar con esta actividad</w:t>
            </w:r>
            <w:r w:rsidR="0073496E">
              <w:rPr>
                <w:rFonts w:asciiTheme="minorHAnsi" w:eastAsiaTheme="minorEastAsia" w:hAnsiTheme="minorHAnsi" w:cstheme="minorHAnsi"/>
                <w:sz w:val="16"/>
                <w:szCs w:val="16"/>
              </w:rPr>
              <w:t>.</w:t>
            </w:r>
          </w:p>
          <w:p w14:paraId="563D9A05" w14:textId="5576993D" w:rsidR="0073496E" w:rsidRPr="00DE692F" w:rsidRDefault="0073496E" w:rsidP="0073496E">
            <w:pPr>
              <w:tabs>
                <w:tab w:val="left" w:pos="4680"/>
              </w:tabs>
              <w:rPr>
                <w:rFonts w:asciiTheme="minorHAnsi" w:eastAsiaTheme="minorEastAsia" w:hAnsiTheme="minorHAnsi" w:cstheme="minorHAnsi"/>
                <w:sz w:val="16"/>
                <w:szCs w:val="16"/>
              </w:rPr>
            </w:pPr>
            <w:r w:rsidRPr="0073496E">
              <w:rPr>
                <w:rFonts w:asciiTheme="minorHAnsi" w:eastAsiaTheme="minorEastAsia" w:hAnsiTheme="minorHAnsi" w:cstheme="minorHAnsi"/>
                <w:sz w:val="16"/>
                <w:szCs w:val="16"/>
              </w:rPr>
              <w:t>Además, en coordinación con la DGDB se han elaborado TdR que serán convocados durante el 2026 con la finalidad de recuperar el hábitat del oso andino como una estrategia para su conservación</w:t>
            </w:r>
            <w:r>
              <w:rPr>
                <w:rFonts w:asciiTheme="minorHAnsi" w:eastAsiaTheme="minorEastAsia" w:hAnsiTheme="minorHAnsi" w:cstheme="minorHAnsi"/>
                <w:sz w:val="16"/>
                <w:szCs w:val="16"/>
              </w:rPr>
              <w:t>.</w:t>
            </w:r>
          </w:p>
          <w:p w14:paraId="7B8C73A6" w14:textId="77777777" w:rsidR="0073496E" w:rsidRPr="00DE692F" w:rsidRDefault="0073496E" w:rsidP="003656FC">
            <w:pPr>
              <w:tabs>
                <w:tab w:val="left" w:pos="4680"/>
              </w:tabs>
              <w:rPr>
                <w:rFonts w:asciiTheme="minorHAnsi" w:eastAsiaTheme="minorEastAsia" w:hAnsiTheme="minorHAnsi" w:cstheme="minorHAnsi"/>
                <w:sz w:val="16"/>
                <w:szCs w:val="16"/>
              </w:rPr>
            </w:pPr>
          </w:p>
          <w:p w14:paraId="03C8D0CF" w14:textId="77777777" w:rsidR="003656FC" w:rsidRPr="00DE692F"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Obstáculos:</w:t>
            </w:r>
          </w:p>
          <w:p w14:paraId="53D90730" w14:textId="13A800F8" w:rsidR="003656FC" w:rsidRPr="00DE692F" w:rsidRDefault="003656FC"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La elaboración de planes regionales está postergada para 2026</w:t>
            </w:r>
            <w:r w:rsidR="00074A42">
              <w:rPr>
                <w:rFonts w:asciiTheme="minorHAnsi" w:hAnsiTheme="minorHAnsi" w:cstheme="minorHAnsi"/>
                <w:sz w:val="16"/>
                <w:szCs w:val="16"/>
              </w:rPr>
              <w:t>, ya que los gobiernos regionales, que inicialmente solicitaron la asistencia técnica para elaborar los mapas y posteriormente los planes de restauración, presentan demoras para la aprobación de productos intermedios, o tienen un bajo involucramiento por lo cual los plazos se tienen que extender.</w:t>
            </w:r>
          </w:p>
        </w:tc>
      </w:tr>
      <w:tr w:rsidR="003656FC" w:rsidRPr="00DE692F" w14:paraId="27ACA962" w14:textId="77777777" w:rsidTr="005B7DD9">
        <w:trPr>
          <w:trHeight w:val="1190"/>
        </w:trPr>
        <w:tc>
          <w:tcPr>
            <w:tcW w:w="1702" w:type="dxa"/>
            <w:tcBorders>
              <w:bottom w:val="single" w:sz="4" w:space="0" w:color="auto"/>
            </w:tcBorders>
            <w:shd w:val="clear" w:color="auto" w:fill="D0CECE" w:themeFill="background2" w:themeFillShade="E6"/>
            <w:vAlign w:val="center"/>
          </w:tcPr>
          <w:p w14:paraId="321A6468" w14:textId="56E63A80"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3.1.4</w:t>
            </w:r>
          </w:p>
        </w:tc>
        <w:tc>
          <w:tcPr>
            <w:tcW w:w="2400" w:type="dxa"/>
            <w:tcBorders>
              <w:bottom w:val="single" w:sz="4" w:space="0" w:color="auto"/>
            </w:tcBorders>
            <w:shd w:val="clear" w:color="auto" w:fill="D0CECE" w:themeFill="background2" w:themeFillShade="E6"/>
            <w:vAlign w:val="center"/>
          </w:tcPr>
          <w:p w14:paraId="398AC5F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BD8986D" w14:textId="7C82242E" w:rsidR="003656FC" w:rsidRPr="00DE692F" w:rsidRDefault="00A95A83"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656F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5F5C5A5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7501FBF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682D10F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23EFED7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675574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1EA30ED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707D678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15FAB2C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4DA9C12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0462EF5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284F36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217BDBD1"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119B47CE" w14:textId="77777777" w:rsidTr="005B7DD9">
        <w:trPr>
          <w:trHeight w:val="688"/>
        </w:trPr>
        <w:tc>
          <w:tcPr>
            <w:tcW w:w="1702" w:type="dxa"/>
            <w:vAlign w:val="center"/>
          </w:tcPr>
          <w:p w14:paraId="25EAE0E1" w14:textId="34EA8111"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Programa de fortalecimiento de capacidades para restauración (directa y sistémica) con enfoques de género, etnia, equidad y gestión de riesgos</w:t>
            </w:r>
          </w:p>
        </w:tc>
        <w:tc>
          <w:tcPr>
            <w:tcW w:w="2400" w:type="dxa"/>
            <w:vAlign w:val="center"/>
          </w:tcPr>
          <w:p w14:paraId="3EC1EE22" w14:textId="301D0B93" w:rsidR="003656FC" w:rsidRPr="00DE692F" w:rsidRDefault="00B0043D"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30D95263" w14:textId="2C4E2E49"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1C3A771C" w14:textId="3B226042" w:rsidR="003656FC" w:rsidRPr="00DE692F" w:rsidRDefault="00B0043D"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09F82A2B" w14:textId="2B9B10ED" w:rsidR="003656FC" w:rsidRPr="00DE692F" w:rsidRDefault="00B0043D"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1076618E" w14:textId="51765DFB" w:rsidR="003656FC" w:rsidRPr="00DE692F" w:rsidRDefault="00B0043D"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28894553" w14:textId="344C075F" w:rsidR="003656FC" w:rsidRPr="00DE692F" w:rsidRDefault="00B0043D"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35355898" w14:textId="14077625"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5A949815" w14:textId="4F05773F" w:rsidR="003656FC" w:rsidRPr="00DE692F" w:rsidRDefault="0048590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w:t>
            </w:r>
            <w:r w:rsidR="00B0043D">
              <w:rPr>
                <w:rFonts w:asciiTheme="minorHAnsi" w:eastAsiaTheme="minorEastAsia" w:hAnsiTheme="minorHAnsi" w:cstheme="minorHAnsi"/>
                <w:sz w:val="16"/>
                <w:szCs w:val="16"/>
              </w:rPr>
              <w:t>0</w:t>
            </w:r>
            <w:r>
              <w:rPr>
                <w:rStyle w:val="Refdenotaalpie"/>
                <w:rFonts w:eastAsiaTheme="minorEastAsia" w:cstheme="minorHAnsi"/>
                <w:szCs w:val="16"/>
              </w:rPr>
              <w:footnoteReference w:id="28"/>
            </w:r>
          </w:p>
        </w:tc>
      </w:tr>
      <w:tr w:rsidR="003656FC" w:rsidRPr="00DE692F" w14:paraId="6324DE41" w14:textId="77777777" w:rsidTr="005B7DD9">
        <w:trPr>
          <w:trHeight w:val="176"/>
        </w:trPr>
        <w:tc>
          <w:tcPr>
            <w:tcW w:w="11482" w:type="dxa"/>
            <w:gridSpan w:val="9"/>
            <w:shd w:val="clear" w:color="auto" w:fill="D0CECE" w:themeFill="background2" w:themeFillShade="E6"/>
            <w:vAlign w:val="center"/>
          </w:tcPr>
          <w:p w14:paraId="0D1E6C13"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796F68B3" w14:textId="77777777" w:rsidTr="005B7DD9">
        <w:trPr>
          <w:trHeight w:val="294"/>
        </w:trPr>
        <w:tc>
          <w:tcPr>
            <w:tcW w:w="1702" w:type="dxa"/>
            <w:vAlign w:val="center"/>
          </w:tcPr>
          <w:p w14:paraId="186F5D26" w14:textId="597F1B49"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3.1.4.1</w:t>
            </w:r>
          </w:p>
        </w:tc>
        <w:tc>
          <w:tcPr>
            <w:tcW w:w="9780" w:type="dxa"/>
            <w:gridSpan w:val="8"/>
            <w:vAlign w:val="center"/>
          </w:tcPr>
          <w:p w14:paraId="0355461D" w14:textId="3980806A"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de Plan de fortalecimiento de capacidades para la restauración y conservación BAVC</w:t>
            </w:r>
          </w:p>
        </w:tc>
      </w:tr>
      <w:tr w:rsidR="003656FC" w:rsidRPr="00DE692F" w14:paraId="0ABC0F1F" w14:textId="77777777" w:rsidTr="005B7DD9">
        <w:trPr>
          <w:trHeight w:val="256"/>
        </w:trPr>
        <w:tc>
          <w:tcPr>
            <w:tcW w:w="1702" w:type="dxa"/>
            <w:vAlign w:val="center"/>
          </w:tcPr>
          <w:p w14:paraId="421094A3" w14:textId="3F6722B3"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3.1.4.2</w:t>
            </w:r>
          </w:p>
        </w:tc>
        <w:tc>
          <w:tcPr>
            <w:tcW w:w="9780" w:type="dxa"/>
            <w:gridSpan w:val="8"/>
            <w:vAlign w:val="center"/>
          </w:tcPr>
          <w:p w14:paraId="11231A7E" w14:textId="425EA494"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cursos u otras modalidades de fortalecimiento de capacidades dirigido a extensionistas, PPII, productores, GORE, GOLO para la restauración y conservación BAVC</w:t>
            </w:r>
          </w:p>
        </w:tc>
      </w:tr>
      <w:tr w:rsidR="003656FC" w:rsidRPr="00DE692F" w14:paraId="4590454A" w14:textId="77777777" w:rsidTr="005B7DD9">
        <w:trPr>
          <w:trHeight w:val="232"/>
        </w:trPr>
        <w:tc>
          <w:tcPr>
            <w:tcW w:w="1702" w:type="dxa"/>
            <w:vAlign w:val="center"/>
          </w:tcPr>
          <w:p w14:paraId="6B9CC657" w14:textId="27D6F171"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3.1.4.3</w:t>
            </w:r>
          </w:p>
        </w:tc>
        <w:tc>
          <w:tcPr>
            <w:tcW w:w="9780" w:type="dxa"/>
            <w:gridSpan w:val="8"/>
            <w:vAlign w:val="center"/>
          </w:tcPr>
          <w:p w14:paraId="7871ECA4" w14:textId="5A4232B2"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cursos u otras modalidades de fortalecimiento de capacidades para la restauración y conservación BAVC</w:t>
            </w:r>
          </w:p>
        </w:tc>
      </w:tr>
      <w:tr w:rsidR="003656FC" w:rsidRPr="00DE692F" w14:paraId="32B59803" w14:textId="77777777" w:rsidTr="005B7DD9">
        <w:trPr>
          <w:trHeight w:val="688"/>
        </w:trPr>
        <w:tc>
          <w:tcPr>
            <w:tcW w:w="4962" w:type="dxa"/>
            <w:gridSpan w:val="3"/>
            <w:tcBorders>
              <w:bottom w:val="single" w:sz="4" w:space="0" w:color="auto"/>
            </w:tcBorders>
            <w:vAlign w:val="center"/>
          </w:tcPr>
          <w:p w14:paraId="15BFEBD1" w14:textId="77777777" w:rsidR="003656FC" w:rsidRPr="00DE692F" w:rsidRDefault="003656FC" w:rsidP="003656FC">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7295634D" w14:textId="24928026" w:rsidR="002E3315" w:rsidRDefault="002E3315"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Como parte del plan de fortalecimiento </w:t>
            </w:r>
            <w:r w:rsidR="00526E97">
              <w:rPr>
                <w:rFonts w:asciiTheme="minorHAnsi" w:hAnsiTheme="minorHAnsi" w:cstheme="minorHAnsi"/>
                <w:sz w:val="16"/>
                <w:szCs w:val="16"/>
              </w:rPr>
              <w:t>de capacidades para la restauración y conservación, se realizaron las siguientes capacitaciones:</w:t>
            </w:r>
          </w:p>
          <w:p w14:paraId="0D200292" w14:textId="2CBD3B36" w:rsidR="003656FC" w:rsidRPr="00526E97" w:rsidRDefault="003656FC" w:rsidP="00526E97">
            <w:pPr>
              <w:pStyle w:val="Prrafodelista"/>
              <w:numPr>
                <w:ilvl w:val="0"/>
                <w:numId w:val="39"/>
              </w:numPr>
              <w:tabs>
                <w:tab w:val="left" w:pos="4680"/>
              </w:tabs>
              <w:ind w:hanging="186"/>
              <w:rPr>
                <w:rFonts w:asciiTheme="minorHAnsi" w:hAnsiTheme="minorHAnsi" w:cstheme="minorHAnsi"/>
                <w:sz w:val="16"/>
                <w:szCs w:val="16"/>
              </w:rPr>
            </w:pPr>
            <w:r w:rsidRPr="00526E97">
              <w:rPr>
                <w:rFonts w:asciiTheme="minorHAnsi" w:hAnsiTheme="minorHAnsi" w:cstheme="minorHAnsi"/>
                <w:sz w:val="16"/>
                <w:szCs w:val="16"/>
              </w:rPr>
              <w:t xml:space="preserve">Taller de fortalecimiento de capacidades de CCNN en septiembre (Comités de Control y Vigilancia) en Alto Amazonas </w:t>
            </w:r>
            <w:r w:rsidR="00A95A83" w:rsidRPr="00526E97">
              <w:rPr>
                <w:rFonts w:asciiTheme="minorHAnsi" w:hAnsiTheme="minorHAnsi" w:cstheme="minorHAnsi"/>
                <w:sz w:val="16"/>
                <w:szCs w:val="16"/>
              </w:rPr>
              <w:t>–</w:t>
            </w:r>
            <w:r w:rsidRPr="00526E97">
              <w:rPr>
                <w:rFonts w:asciiTheme="minorHAnsi" w:hAnsiTheme="minorHAnsi" w:cstheme="minorHAnsi"/>
                <w:sz w:val="16"/>
                <w:szCs w:val="16"/>
              </w:rPr>
              <w:t xml:space="preserve"> Loreto</w:t>
            </w:r>
            <w:r w:rsidR="00A95A83" w:rsidRPr="00526E97">
              <w:rPr>
                <w:rFonts w:asciiTheme="minorHAnsi" w:hAnsiTheme="minorHAnsi" w:cstheme="minorHAnsi"/>
                <w:sz w:val="16"/>
                <w:szCs w:val="16"/>
              </w:rPr>
              <w:t xml:space="preserve">, </w:t>
            </w:r>
            <w:r w:rsidR="002E3315" w:rsidRPr="00526E97">
              <w:rPr>
                <w:rFonts w:asciiTheme="minorHAnsi" w:hAnsiTheme="minorHAnsi" w:cstheme="minorHAnsi"/>
                <w:sz w:val="16"/>
                <w:szCs w:val="16"/>
              </w:rPr>
              <w:t>se capacitaron a 24 personas.</w:t>
            </w:r>
          </w:p>
          <w:p w14:paraId="2A2F5398" w14:textId="6A25322C" w:rsidR="003656FC" w:rsidRPr="00526E97" w:rsidRDefault="002E3315" w:rsidP="00526E97">
            <w:pPr>
              <w:pStyle w:val="Prrafodelista"/>
              <w:numPr>
                <w:ilvl w:val="0"/>
                <w:numId w:val="39"/>
              </w:numPr>
              <w:tabs>
                <w:tab w:val="left" w:pos="4680"/>
              </w:tabs>
              <w:ind w:hanging="186"/>
              <w:rPr>
                <w:rFonts w:asciiTheme="minorHAnsi" w:hAnsiTheme="minorHAnsi" w:cstheme="minorHAnsi"/>
                <w:sz w:val="16"/>
                <w:szCs w:val="16"/>
              </w:rPr>
            </w:pPr>
            <w:r w:rsidRPr="00526E97">
              <w:rPr>
                <w:rFonts w:asciiTheme="minorHAnsi" w:hAnsiTheme="minorHAnsi" w:cstheme="minorHAnsi"/>
                <w:sz w:val="16"/>
                <w:szCs w:val="16"/>
              </w:rPr>
              <w:t xml:space="preserve">Dos </w:t>
            </w:r>
            <w:r w:rsidR="003656FC" w:rsidRPr="00526E97">
              <w:rPr>
                <w:rFonts w:asciiTheme="minorHAnsi" w:hAnsiTheme="minorHAnsi" w:cstheme="minorHAnsi"/>
                <w:sz w:val="16"/>
                <w:szCs w:val="16"/>
              </w:rPr>
              <w:t>Taller</w:t>
            </w:r>
            <w:r w:rsidRPr="00526E97">
              <w:rPr>
                <w:rFonts w:asciiTheme="minorHAnsi" w:hAnsiTheme="minorHAnsi" w:cstheme="minorHAnsi"/>
                <w:sz w:val="16"/>
                <w:szCs w:val="16"/>
              </w:rPr>
              <w:t>es</w:t>
            </w:r>
            <w:r w:rsidR="003656FC" w:rsidRPr="00526E97">
              <w:rPr>
                <w:rFonts w:asciiTheme="minorHAnsi" w:hAnsiTheme="minorHAnsi" w:cstheme="minorHAnsi"/>
                <w:sz w:val="16"/>
                <w:szCs w:val="16"/>
              </w:rPr>
              <w:t xml:space="preserve"> sobre Mecanismos de Compensación de Multas por conservación y restauración en octubre en Alto Amazonas - Loreto</w:t>
            </w:r>
            <w:r w:rsidR="00E84DD5" w:rsidRPr="00526E97">
              <w:rPr>
                <w:rFonts w:asciiTheme="minorHAnsi" w:hAnsiTheme="minorHAnsi" w:cstheme="minorHAnsi"/>
                <w:sz w:val="16"/>
                <w:szCs w:val="16"/>
              </w:rPr>
              <w:t>, el cual contó con el soporte técnico de OSINFOR en el diseño, implementación y evaluación</w:t>
            </w:r>
            <w:r w:rsidRPr="00526E97">
              <w:rPr>
                <w:rFonts w:asciiTheme="minorHAnsi" w:hAnsiTheme="minorHAnsi" w:cstheme="minorHAnsi"/>
                <w:sz w:val="16"/>
                <w:szCs w:val="16"/>
              </w:rPr>
              <w:t>, se capacitó a 64 personas en ambos talleres.</w:t>
            </w:r>
          </w:p>
          <w:p w14:paraId="4ABF0F82" w14:textId="7FA57E63" w:rsidR="00A95A83" w:rsidRPr="00526E97" w:rsidRDefault="00A95A83" w:rsidP="00526E97">
            <w:pPr>
              <w:pStyle w:val="Prrafodelista"/>
              <w:numPr>
                <w:ilvl w:val="0"/>
                <w:numId w:val="39"/>
              </w:numPr>
              <w:tabs>
                <w:tab w:val="left" w:pos="4680"/>
              </w:tabs>
              <w:ind w:hanging="186"/>
              <w:rPr>
                <w:rFonts w:asciiTheme="minorHAnsi" w:hAnsiTheme="minorHAnsi" w:cstheme="minorHAnsi"/>
                <w:sz w:val="16"/>
                <w:szCs w:val="16"/>
              </w:rPr>
            </w:pPr>
            <w:r w:rsidRPr="00526E97">
              <w:rPr>
                <w:rFonts w:asciiTheme="minorHAnsi" w:hAnsiTheme="minorHAnsi" w:cstheme="minorHAnsi"/>
                <w:sz w:val="16"/>
                <w:szCs w:val="16"/>
              </w:rPr>
              <w:t>Tall</w:t>
            </w:r>
            <w:r w:rsidR="002E3315" w:rsidRPr="00526E97">
              <w:rPr>
                <w:rFonts w:asciiTheme="minorHAnsi" w:hAnsiTheme="minorHAnsi" w:cstheme="minorHAnsi"/>
                <w:sz w:val="16"/>
                <w:szCs w:val="16"/>
              </w:rPr>
              <w:t xml:space="preserve">er </w:t>
            </w:r>
            <w:r w:rsidR="007E6EFC" w:rsidRPr="007E6EFC">
              <w:rPr>
                <w:rFonts w:asciiTheme="minorHAnsi" w:hAnsiTheme="minorHAnsi" w:cstheme="minorHAnsi"/>
                <w:sz w:val="16"/>
                <w:szCs w:val="16"/>
              </w:rPr>
              <w:t>de Restauración en el Corredor Turístico Cerro Mirador “El Tigre”, para fortalecer las capacidades de los productores socios de APROCTUR, así como de los técnicos forestales y de conservación del Santuario Nacional Tabaconas Namballe (SNTN). El taller incluyó la instalación en campo de plantones forestales nativos en la zona de amortiguamiento del SNTN. En total, participaron 25 socios y técnicos</w:t>
            </w:r>
            <w:r w:rsidR="007E6EFC">
              <w:rPr>
                <w:rFonts w:asciiTheme="minorHAnsi" w:hAnsiTheme="minorHAnsi" w:cstheme="minorHAnsi"/>
                <w:sz w:val="16"/>
                <w:szCs w:val="16"/>
              </w:rPr>
              <w:t>.</w:t>
            </w:r>
          </w:p>
        </w:tc>
        <w:tc>
          <w:tcPr>
            <w:tcW w:w="6520" w:type="dxa"/>
            <w:gridSpan w:val="6"/>
            <w:tcBorders>
              <w:bottom w:val="single" w:sz="4" w:space="0" w:color="auto"/>
            </w:tcBorders>
            <w:vAlign w:val="center"/>
          </w:tcPr>
          <w:p w14:paraId="547CB808" w14:textId="0F19343C" w:rsidR="003656FC" w:rsidRDefault="002E3315"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El fortalecimiento de capacidades en restauración se programó para complementar las acciones de restauració</w:t>
            </w:r>
            <w:r w:rsidR="00485909">
              <w:rPr>
                <w:rFonts w:asciiTheme="minorHAnsi" w:eastAsiaTheme="minorEastAsia" w:hAnsiTheme="minorHAnsi" w:cstheme="minorHAnsi"/>
                <w:sz w:val="16"/>
                <w:szCs w:val="16"/>
              </w:rPr>
              <w:t>n</w:t>
            </w:r>
            <w:r>
              <w:rPr>
                <w:rFonts w:asciiTheme="minorHAnsi" w:eastAsiaTheme="minorEastAsia" w:hAnsiTheme="minorHAnsi" w:cstheme="minorHAnsi"/>
                <w:sz w:val="16"/>
                <w:szCs w:val="16"/>
              </w:rPr>
              <w:t xml:space="preserve">, </w:t>
            </w:r>
            <w:r w:rsidR="00485909">
              <w:rPr>
                <w:rFonts w:asciiTheme="minorHAnsi" w:eastAsiaTheme="minorEastAsia" w:hAnsiTheme="minorHAnsi" w:cstheme="minorHAnsi"/>
                <w:sz w:val="16"/>
                <w:szCs w:val="16"/>
              </w:rPr>
              <w:t>en el caso de restauración directa estas actividades tuvieron</w:t>
            </w:r>
            <w:r>
              <w:rPr>
                <w:rFonts w:asciiTheme="minorHAnsi" w:eastAsiaTheme="minorEastAsia" w:hAnsiTheme="minorHAnsi" w:cstheme="minorHAnsi"/>
                <w:sz w:val="16"/>
                <w:szCs w:val="16"/>
              </w:rPr>
              <w:t xml:space="preserve"> que ser postergadas para el 2026</w:t>
            </w:r>
            <w:r w:rsidR="006C6FD3">
              <w:rPr>
                <w:rFonts w:asciiTheme="minorHAnsi" w:eastAsiaTheme="minorEastAsia" w:hAnsiTheme="minorHAnsi" w:cstheme="minorHAnsi"/>
                <w:sz w:val="16"/>
                <w:szCs w:val="16"/>
              </w:rPr>
              <w:t>, ya que se focalizó el avance de las acciones de restauración sistémicas</w:t>
            </w:r>
            <w:r>
              <w:rPr>
                <w:rFonts w:asciiTheme="minorHAnsi" w:eastAsiaTheme="minorEastAsia" w:hAnsiTheme="minorHAnsi" w:cstheme="minorHAnsi"/>
                <w:sz w:val="16"/>
                <w:szCs w:val="16"/>
              </w:rPr>
              <w:t>.</w:t>
            </w:r>
          </w:p>
          <w:p w14:paraId="5E53D042" w14:textId="44708C25" w:rsidR="002E3315" w:rsidRDefault="002E3315"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Se avanzó con un taller con socios priorizados (APROCTUR) y con talleres de capacitación en conservación con socios claves como la Gerencia Forestal de Loreto, OSINFOR y ORDEPIAA.</w:t>
            </w:r>
          </w:p>
          <w:p w14:paraId="1EC2D016" w14:textId="421BC6D3" w:rsidR="003656FC" w:rsidRPr="00DE692F" w:rsidRDefault="006C6FD3" w:rsidP="003656FC">
            <w:pPr>
              <w:tabs>
                <w:tab w:val="left" w:pos="4680"/>
              </w:tabs>
              <w:rPr>
                <w:rFonts w:asciiTheme="minorHAnsi" w:hAnsiTheme="minorHAnsi" w:cstheme="minorHAnsi"/>
                <w:sz w:val="16"/>
                <w:szCs w:val="16"/>
              </w:rPr>
            </w:pPr>
            <w:r>
              <w:rPr>
                <w:rFonts w:asciiTheme="minorHAnsi" w:eastAsiaTheme="minorEastAsia" w:hAnsiTheme="minorHAnsi" w:cstheme="minorHAnsi"/>
                <w:b/>
                <w:bCs/>
                <w:sz w:val="16"/>
                <w:szCs w:val="16"/>
              </w:rPr>
              <w:t xml:space="preserve"> </w:t>
            </w:r>
            <w:r w:rsidR="00074A42">
              <w:rPr>
                <w:rFonts w:asciiTheme="minorHAnsi" w:hAnsiTheme="minorHAnsi" w:cstheme="minorHAnsi"/>
                <w:sz w:val="16"/>
                <w:szCs w:val="16"/>
              </w:rPr>
              <w:t xml:space="preserve">  </w:t>
            </w:r>
          </w:p>
        </w:tc>
      </w:tr>
      <w:tr w:rsidR="003656FC" w:rsidRPr="00DE692F" w14:paraId="18B8CC59" w14:textId="77777777" w:rsidTr="005B7DD9">
        <w:trPr>
          <w:trHeight w:val="1190"/>
        </w:trPr>
        <w:tc>
          <w:tcPr>
            <w:tcW w:w="1702" w:type="dxa"/>
            <w:tcBorders>
              <w:bottom w:val="single" w:sz="4" w:space="0" w:color="auto"/>
            </w:tcBorders>
            <w:shd w:val="clear" w:color="auto" w:fill="D0CECE" w:themeFill="background2" w:themeFillShade="E6"/>
            <w:vAlign w:val="center"/>
          </w:tcPr>
          <w:p w14:paraId="7B957185" w14:textId="46C9FE4C"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3.1.5</w:t>
            </w:r>
          </w:p>
        </w:tc>
        <w:tc>
          <w:tcPr>
            <w:tcW w:w="2400" w:type="dxa"/>
            <w:tcBorders>
              <w:bottom w:val="single" w:sz="4" w:space="0" w:color="auto"/>
            </w:tcBorders>
            <w:shd w:val="clear" w:color="auto" w:fill="D0CECE" w:themeFill="background2" w:themeFillShade="E6"/>
            <w:vAlign w:val="center"/>
          </w:tcPr>
          <w:p w14:paraId="2F30F1A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03B2802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71EA7F9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C2E1C5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20016CD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71B9B2B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7C0A40A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305EC0E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E1B11F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2F8E205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7A7B154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5EECFC3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493E01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780952C2"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2560F958" w14:textId="77777777" w:rsidTr="005B7DD9">
        <w:trPr>
          <w:trHeight w:val="688"/>
        </w:trPr>
        <w:tc>
          <w:tcPr>
            <w:tcW w:w="1702" w:type="dxa"/>
            <w:vAlign w:val="center"/>
          </w:tcPr>
          <w:p w14:paraId="04842D28" w14:textId="226AAED7"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Evaluación de necesidades financieras para cubrir los costos de restauración de </w:t>
            </w:r>
            <w:r w:rsidRPr="00DE692F">
              <w:rPr>
                <w:rFonts w:asciiTheme="minorHAnsi" w:eastAsiaTheme="minorEastAsia" w:hAnsiTheme="minorHAnsi" w:cstheme="minorHAnsi"/>
                <w:sz w:val="16"/>
                <w:szCs w:val="16"/>
              </w:rPr>
              <w:lastRenderedPageBreak/>
              <w:t>ecosistemas y desarrollo de una estrategia de sostenibilidad financiera, incluyendo aumento de presupuestos de GORES</w:t>
            </w:r>
          </w:p>
        </w:tc>
        <w:tc>
          <w:tcPr>
            <w:tcW w:w="2400" w:type="dxa"/>
            <w:vAlign w:val="center"/>
          </w:tcPr>
          <w:p w14:paraId="5DC4FB32" w14:textId="427C26AE" w:rsidR="003656FC" w:rsidRPr="00DE692F" w:rsidRDefault="00DE25AF"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68E598AF" w14:textId="05194279"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4B1F6484" w14:textId="7769B68D" w:rsidR="003656FC" w:rsidRPr="00DE692F" w:rsidRDefault="00DE25AF"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0E5FE7DC" w14:textId="2AC7446F"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104E967A" w14:textId="1EF7E813" w:rsidR="003656FC" w:rsidRPr="00DE692F" w:rsidRDefault="00DE25AF"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31EF7899" w14:textId="4022433F"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4AF25ADA" w14:textId="03F30076"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4E942BCB" w14:textId="7E562235" w:rsidR="003656FC" w:rsidRPr="00DE692F" w:rsidRDefault="00BA5D3E"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30</w:t>
            </w:r>
            <w:r>
              <w:rPr>
                <w:rStyle w:val="Refdenotaalpie"/>
                <w:rFonts w:eastAsiaTheme="minorEastAsia" w:cstheme="minorHAnsi"/>
                <w:szCs w:val="16"/>
              </w:rPr>
              <w:footnoteReference w:id="29"/>
            </w:r>
            <w:r w:rsidR="003656FC" w:rsidRPr="00DE692F">
              <w:rPr>
                <w:rFonts w:asciiTheme="minorHAnsi" w:eastAsiaTheme="minorEastAsia" w:hAnsiTheme="minorHAnsi" w:cstheme="minorHAnsi"/>
                <w:sz w:val="16"/>
                <w:szCs w:val="16"/>
              </w:rPr>
              <w:t>%</w:t>
            </w:r>
          </w:p>
        </w:tc>
      </w:tr>
      <w:tr w:rsidR="003656FC" w:rsidRPr="00DE692F" w14:paraId="03C5585D" w14:textId="77777777" w:rsidTr="005B7DD9">
        <w:trPr>
          <w:trHeight w:val="176"/>
        </w:trPr>
        <w:tc>
          <w:tcPr>
            <w:tcW w:w="11482" w:type="dxa"/>
            <w:gridSpan w:val="9"/>
            <w:shd w:val="clear" w:color="auto" w:fill="D0CECE" w:themeFill="background2" w:themeFillShade="E6"/>
            <w:vAlign w:val="center"/>
          </w:tcPr>
          <w:p w14:paraId="144A5C58"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6A8820F4" w14:textId="77777777" w:rsidTr="005B7DD9">
        <w:trPr>
          <w:trHeight w:val="294"/>
        </w:trPr>
        <w:tc>
          <w:tcPr>
            <w:tcW w:w="1702" w:type="dxa"/>
            <w:vAlign w:val="center"/>
          </w:tcPr>
          <w:p w14:paraId="44DBAAB2" w14:textId="5BA53E9C"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3.1.5.1</w:t>
            </w:r>
          </w:p>
        </w:tc>
        <w:tc>
          <w:tcPr>
            <w:tcW w:w="9780" w:type="dxa"/>
            <w:gridSpan w:val="8"/>
            <w:vAlign w:val="center"/>
          </w:tcPr>
          <w:p w14:paraId="3A30505F" w14:textId="59729711"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Estrategia de financiamiento para la restauración</w:t>
            </w:r>
          </w:p>
        </w:tc>
      </w:tr>
      <w:tr w:rsidR="003656FC" w:rsidRPr="00DE692F" w14:paraId="2F83BCC3" w14:textId="77777777" w:rsidTr="005B7DD9">
        <w:trPr>
          <w:trHeight w:val="256"/>
        </w:trPr>
        <w:tc>
          <w:tcPr>
            <w:tcW w:w="1702" w:type="dxa"/>
            <w:vAlign w:val="center"/>
          </w:tcPr>
          <w:p w14:paraId="036525AF" w14:textId="10C4AC99"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3.1.5.2</w:t>
            </w:r>
          </w:p>
        </w:tc>
        <w:tc>
          <w:tcPr>
            <w:tcW w:w="9780" w:type="dxa"/>
            <w:gridSpan w:val="8"/>
            <w:vAlign w:val="center"/>
          </w:tcPr>
          <w:p w14:paraId="5A635369" w14:textId="198389B5" w:rsidR="003656FC" w:rsidRPr="00DE692F" w:rsidRDefault="00E84DD5"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pilotos</w:t>
            </w:r>
            <w:r w:rsidR="003656FC" w:rsidRPr="00DE692F">
              <w:rPr>
                <w:rFonts w:asciiTheme="minorHAnsi" w:eastAsiaTheme="minorEastAsia" w:hAnsiTheme="minorHAnsi" w:cstheme="minorHAnsi"/>
                <w:sz w:val="16"/>
                <w:szCs w:val="16"/>
              </w:rPr>
              <w:t xml:space="preserve"> de implementación de financiamiento para la restauración (ejemplo OxI, MERESE, otros)</w:t>
            </w:r>
          </w:p>
        </w:tc>
      </w:tr>
      <w:tr w:rsidR="003656FC" w:rsidRPr="00DE692F" w14:paraId="6D839CCB" w14:textId="77777777" w:rsidTr="005B7DD9">
        <w:trPr>
          <w:trHeight w:val="688"/>
        </w:trPr>
        <w:tc>
          <w:tcPr>
            <w:tcW w:w="4962" w:type="dxa"/>
            <w:gridSpan w:val="3"/>
            <w:tcBorders>
              <w:bottom w:val="single" w:sz="4" w:space="0" w:color="auto"/>
            </w:tcBorders>
            <w:vAlign w:val="center"/>
          </w:tcPr>
          <w:p w14:paraId="68EA9690" w14:textId="36E6825E" w:rsidR="00873789" w:rsidRDefault="00873789"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El 2025, se apoyaron diferentes herramientas que promueve el MINAM para </w:t>
            </w:r>
            <w:r w:rsidR="00BA5D3E">
              <w:rPr>
                <w:rFonts w:asciiTheme="minorHAnsi" w:hAnsiTheme="minorHAnsi" w:cstheme="minorHAnsi"/>
                <w:sz w:val="16"/>
                <w:szCs w:val="16"/>
              </w:rPr>
              <w:t>la sostenibilidad d</w:t>
            </w:r>
            <w:r>
              <w:rPr>
                <w:rFonts w:asciiTheme="minorHAnsi" w:hAnsiTheme="minorHAnsi" w:cstheme="minorHAnsi"/>
                <w:sz w:val="16"/>
                <w:szCs w:val="16"/>
              </w:rPr>
              <w:t xml:space="preserve">el financiamiento </w:t>
            </w:r>
            <w:r w:rsidR="00485909">
              <w:rPr>
                <w:rFonts w:asciiTheme="minorHAnsi" w:hAnsiTheme="minorHAnsi" w:cstheme="minorHAnsi"/>
                <w:sz w:val="16"/>
                <w:szCs w:val="16"/>
              </w:rPr>
              <w:t xml:space="preserve">público </w:t>
            </w:r>
            <w:r>
              <w:rPr>
                <w:rFonts w:asciiTheme="minorHAnsi" w:hAnsiTheme="minorHAnsi" w:cstheme="minorHAnsi"/>
                <w:sz w:val="16"/>
                <w:szCs w:val="16"/>
              </w:rPr>
              <w:t>para la restauración:</w:t>
            </w:r>
          </w:p>
          <w:p w14:paraId="3906B653" w14:textId="77777777" w:rsidR="00873789" w:rsidRDefault="00873789" w:rsidP="00B0043D">
            <w:pPr>
              <w:pStyle w:val="Prrafodelista"/>
              <w:numPr>
                <w:ilvl w:val="1"/>
                <w:numId w:val="30"/>
              </w:numPr>
              <w:tabs>
                <w:tab w:val="left" w:pos="4680"/>
              </w:tabs>
              <w:ind w:left="601" w:hanging="284"/>
              <w:rPr>
                <w:rFonts w:asciiTheme="minorHAnsi" w:hAnsiTheme="minorHAnsi" w:cstheme="minorHAnsi"/>
                <w:sz w:val="16"/>
                <w:szCs w:val="16"/>
              </w:rPr>
            </w:pPr>
            <w:r w:rsidRPr="00873789">
              <w:rPr>
                <w:rFonts w:asciiTheme="minorHAnsi" w:hAnsiTheme="minorHAnsi" w:cstheme="minorHAnsi"/>
                <w:sz w:val="16"/>
                <w:szCs w:val="16"/>
              </w:rPr>
              <w:t>D</w:t>
            </w:r>
            <w:r w:rsidR="003656FC" w:rsidRPr="00873789">
              <w:rPr>
                <w:rFonts w:asciiTheme="minorHAnsi" w:hAnsiTheme="minorHAnsi" w:cstheme="minorHAnsi"/>
                <w:sz w:val="16"/>
                <w:szCs w:val="16"/>
              </w:rPr>
              <w:t>iseño del marco funcional y operativo del programa REVERDECE (MINAM)</w:t>
            </w:r>
            <w:r w:rsidRPr="00873789">
              <w:rPr>
                <w:rFonts w:asciiTheme="minorHAnsi" w:hAnsiTheme="minorHAnsi" w:cstheme="minorHAnsi"/>
                <w:sz w:val="16"/>
                <w:szCs w:val="16"/>
              </w:rPr>
              <w:t>.</w:t>
            </w:r>
          </w:p>
          <w:p w14:paraId="1B64A6D6" w14:textId="783EFB76" w:rsidR="003656FC" w:rsidRDefault="00873789" w:rsidP="00B0043D">
            <w:pPr>
              <w:pStyle w:val="Prrafodelista"/>
              <w:numPr>
                <w:ilvl w:val="1"/>
                <w:numId w:val="30"/>
              </w:numPr>
              <w:tabs>
                <w:tab w:val="left" w:pos="4680"/>
              </w:tabs>
              <w:ind w:left="601" w:hanging="284"/>
              <w:rPr>
                <w:rFonts w:asciiTheme="minorHAnsi" w:hAnsiTheme="minorHAnsi" w:cstheme="minorHAnsi"/>
                <w:sz w:val="16"/>
                <w:szCs w:val="16"/>
              </w:rPr>
            </w:pPr>
            <w:r>
              <w:rPr>
                <w:rFonts w:asciiTheme="minorHAnsi" w:hAnsiTheme="minorHAnsi" w:cstheme="minorHAnsi"/>
                <w:sz w:val="16"/>
                <w:szCs w:val="16"/>
              </w:rPr>
              <w:t>A</w:t>
            </w:r>
            <w:r w:rsidR="003656FC" w:rsidRPr="00873789">
              <w:rPr>
                <w:rFonts w:asciiTheme="minorHAnsi" w:hAnsiTheme="minorHAnsi" w:cstheme="minorHAnsi"/>
                <w:sz w:val="16"/>
                <w:szCs w:val="16"/>
              </w:rPr>
              <w:t xml:space="preserve">sesoría legal </w:t>
            </w:r>
            <w:r>
              <w:rPr>
                <w:rFonts w:asciiTheme="minorHAnsi" w:hAnsiTheme="minorHAnsi" w:cstheme="minorHAnsi"/>
                <w:sz w:val="16"/>
                <w:szCs w:val="16"/>
              </w:rPr>
              <w:t>para la</w:t>
            </w:r>
            <w:r w:rsidR="003656FC" w:rsidRPr="00873789">
              <w:rPr>
                <w:rFonts w:asciiTheme="minorHAnsi" w:hAnsiTheme="minorHAnsi" w:cstheme="minorHAnsi"/>
                <w:sz w:val="16"/>
                <w:szCs w:val="16"/>
              </w:rPr>
              <w:t xml:space="preserve"> propuesta normativa de créditos de biodiversidad (MINAM)</w:t>
            </w:r>
            <w:r>
              <w:rPr>
                <w:rFonts w:asciiTheme="minorHAnsi" w:hAnsiTheme="minorHAnsi" w:cstheme="minorHAnsi"/>
                <w:sz w:val="16"/>
                <w:szCs w:val="16"/>
              </w:rPr>
              <w:t xml:space="preserve">, la cual fue aprobada mediante la </w:t>
            </w:r>
            <w:r w:rsidRPr="00873789">
              <w:rPr>
                <w:rFonts w:asciiTheme="minorHAnsi" w:hAnsiTheme="minorHAnsi" w:cstheme="minorHAnsi"/>
                <w:sz w:val="16"/>
                <w:szCs w:val="16"/>
              </w:rPr>
              <w:t>Resolución Ministerial N.° 00352-2025-MINAM</w:t>
            </w:r>
            <w:r>
              <w:rPr>
                <w:rFonts w:asciiTheme="minorHAnsi" w:hAnsiTheme="minorHAnsi" w:cstheme="minorHAnsi"/>
                <w:sz w:val="16"/>
                <w:szCs w:val="16"/>
              </w:rPr>
              <w:t>.</w:t>
            </w:r>
          </w:p>
          <w:p w14:paraId="158E3612" w14:textId="4FDC89BB" w:rsidR="003656FC" w:rsidRPr="00B0043D" w:rsidRDefault="00B0043D" w:rsidP="00B0043D">
            <w:pPr>
              <w:pStyle w:val="Prrafodelista"/>
              <w:numPr>
                <w:ilvl w:val="1"/>
                <w:numId w:val="30"/>
              </w:numPr>
              <w:tabs>
                <w:tab w:val="left" w:pos="4680"/>
              </w:tabs>
              <w:ind w:left="601" w:hanging="284"/>
              <w:rPr>
                <w:rFonts w:asciiTheme="minorHAnsi" w:hAnsiTheme="minorHAnsi" w:cstheme="minorHAnsi"/>
                <w:sz w:val="16"/>
                <w:szCs w:val="16"/>
              </w:rPr>
            </w:pPr>
            <w:r>
              <w:rPr>
                <w:rFonts w:asciiTheme="minorHAnsi" w:hAnsiTheme="minorHAnsi" w:cstheme="minorHAnsi"/>
                <w:sz w:val="16"/>
                <w:szCs w:val="16"/>
              </w:rPr>
              <w:t>Asistencia técnica al gobierno regional de Amazonas en MERESE</w:t>
            </w:r>
            <w:r w:rsidR="00BA5D3E">
              <w:rPr>
                <w:rFonts w:asciiTheme="minorHAnsi" w:hAnsiTheme="minorHAnsi" w:cstheme="minorHAnsi"/>
                <w:sz w:val="16"/>
                <w:szCs w:val="16"/>
              </w:rPr>
              <w:t>.</w:t>
            </w:r>
          </w:p>
        </w:tc>
        <w:tc>
          <w:tcPr>
            <w:tcW w:w="6520" w:type="dxa"/>
            <w:gridSpan w:val="6"/>
            <w:tcBorders>
              <w:bottom w:val="single" w:sz="4" w:space="0" w:color="auto"/>
            </w:tcBorders>
            <w:vAlign w:val="center"/>
          </w:tcPr>
          <w:p w14:paraId="1D1373B0" w14:textId="1F0576BE" w:rsidR="003656FC" w:rsidRPr="00DE692F" w:rsidRDefault="00873789"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Se avanzó en coordinaciones con la Dirección de General de Economía y Financiamiento Ambiental, a fin de alinear la actividad de elaboración de estrategia de financiamiento a sus necesidades y avances</w:t>
            </w:r>
            <w:r w:rsidR="00485909">
              <w:rPr>
                <w:rFonts w:asciiTheme="minorHAnsi" w:eastAsiaTheme="minorEastAsia" w:hAnsiTheme="minorHAnsi" w:cstheme="minorHAnsi"/>
                <w:sz w:val="16"/>
                <w:szCs w:val="16"/>
              </w:rPr>
              <w:t xml:space="preserve"> obtenidos</w:t>
            </w:r>
            <w:r>
              <w:rPr>
                <w:rFonts w:asciiTheme="minorHAnsi" w:eastAsiaTheme="minorEastAsia" w:hAnsiTheme="minorHAnsi" w:cstheme="minorHAnsi"/>
                <w:sz w:val="16"/>
                <w:szCs w:val="16"/>
              </w:rPr>
              <w:t>. Por ello, para el 2026 se ha realizado un plan de trabajo para abordar este producto de forma integral.</w:t>
            </w:r>
          </w:p>
          <w:p w14:paraId="0BBD055E" w14:textId="34DB9202" w:rsidR="00485909" w:rsidRPr="00DE692F" w:rsidRDefault="00B0043D" w:rsidP="003656FC">
            <w:pPr>
              <w:tabs>
                <w:tab w:val="left" w:pos="4680"/>
              </w:tabs>
              <w:rPr>
                <w:rFonts w:asciiTheme="minorHAnsi" w:hAnsiTheme="minorHAnsi" w:cstheme="minorHAnsi"/>
                <w:sz w:val="16"/>
                <w:szCs w:val="16"/>
              </w:rPr>
            </w:pPr>
            <w:r w:rsidRPr="00B0043D">
              <w:rPr>
                <w:rFonts w:asciiTheme="minorHAnsi" w:hAnsiTheme="minorHAnsi" w:cstheme="minorHAnsi"/>
                <w:sz w:val="16"/>
                <w:szCs w:val="16"/>
              </w:rPr>
              <w:t xml:space="preserve">La elaboración de la estrategia </w:t>
            </w:r>
            <w:r>
              <w:rPr>
                <w:rFonts w:asciiTheme="minorHAnsi" w:hAnsiTheme="minorHAnsi" w:cstheme="minorHAnsi"/>
                <w:sz w:val="16"/>
                <w:szCs w:val="16"/>
              </w:rPr>
              <w:t>fue postergada</w:t>
            </w:r>
            <w:r w:rsidRPr="00B0043D">
              <w:rPr>
                <w:rFonts w:asciiTheme="minorHAnsi" w:hAnsiTheme="minorHAnsi" w:cstheme="minorHAnsi"/>
                <w:sz w:val="16"/>
                <w:szCs w:val="16"/>
              </w:rPr>
              <w:t xml:space="preserve"> debido a que el MINAM </w:t>
            </w:r>
            <w:r>
              <w:rPr>
                <w:rFonts w:asciiTheme="minorHAnsi" w:hAnsiTheme="minorHAnsi" w:cstheme="minorHAnsi"/>
                <w:sz w:val="16"/>
                <w:szCs w:val="16"/>
              </w:rPr>
              <w:t>(DGEFA)</w:t>
            </w:r>
            <w:r w:rsidRPr="00B0043D">
              <w:rPr>
                <w:rFonts w:asciiTheme="minorHAnsi" w:hAnsiTheme="minorHAnsi" w:cstheme="minorHAnsi"/>
                <w:sz w:val="16"/>
                <w:szCs w:val="16"/>
              </w:rPr>
              <w:t xml:space="preserve"> </w:t>
            </w:r>
            <w:r>
              <w:rPr>
                <w:rFonts w:asciiTheme="minorHAnsi" w:hAnsiTheme="minorHAnsi" w:cstheme="minorHAnsi"/>
                <w:sz w:val="16"/>
                <w:szCs w:val="16"/>
              </w:rPr>
              <w:t>priorizaron el impulso a</w:t>
            </w:r>
            <w:r w:rsidRPr="00B0043D">
              <w:rPr>
                <w:rFonts w:asciiTheme="minorHAnsi" w:hAnsiTheme="minorHAnsi" w:cstheme="minorHAnsi"/>
                <w:sz w:val="16"/>
                <w:szCs w:val="16"/>
              </w:rPr>
              <w:t xml:space="preserve"> nuevas herramientas y mecanismos innovadores para la </w:t>
            </w:r>
            <w:r>
              <w:rPr>
                <w:rFonts w:asciiTheme="minorHAnsi" w:hAnsiTheme="minorHAnsi" w:cstheme="minorHAnsi"/>
                <w:sz w:val="16"/>
                <w:szCs w:val="16"/>
              </w:rPr>
              <w:t>apoyar la restauración y conservación</w:t>
            </w:r>
            <w:r w:rsidRPr="00B0043D">
              <w:rPr>
                <w:rFonts w:asciiTheme="minorHAnsi" w:hAnsiTheme="minorHAnsi" w:cstheme="minorHAnsi"/>
                <w:sz w:val="16"/>
                <w:szCs w:val="16"/>
              </w:rPr>
              <w:t xml:space="preserve">. </w:t>
            </w:r>
          </w:p>
        </w:tc>
      </w:tr>
      <w:tr w:rsidR="003656FC" w:rsidRPr="00DE692F" w14:paraId="55394988"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5F24F8C6" w14:textId="77777777"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3:  </w:t>
            </w:r>
            <w:r w:rsidRPr="00DE692F">
              <w:rPr>
                <w:rFonts w:asciiTheme="minorHAnsi" w:eastAsiaTheme="minorEastAsia" w:hAnsiTheme="minorHAnsi" w:cstheme="minorHAnsi"/>
                <w:sz w:val="16"/>
                <w:szCs w:val="16"/>
              </w:rPr>
              <w:t>Reducir la pérdida de biodiversidad y restaurar ecosistemas, BAVC y hábitats naturales</w:t>
            </w:r>
          </w:p>
          <w:p w14:paraId="2868BD77" w14:textId="79AC519C"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6:  </w:t>
            </w:r>
            <w:r w:rsidRPr="00DE692F">
              <w:rPr>
                <w:rFonts w:asciiTheme="minorHAnsi" w:eastAsiaTheme="minorEastAsia" w:hAnsiTheme="minorHAnsi" w:cstheme="minorHAnsi"/>
                <w:sz w:val="16"/>
                <w:szCs w:val="16"/>
              </w:rPr>
              <w:t>Los corredores de conservación han mejorado la conectividad, la conservación de la biodiversidad y los servicios ecosistémicos (SSEE).</w:t>
            </w:r>
          </w:p>
        </w:tc>
      </w:tr>
      <w:tr w:rsidR="003656FC" w:rsidRPr="00DE692F" w14:paraId="4BF3FA54" w14:textId="77777777" w:rsidTr="005B7DD9">
        <w:trPr>
          <w:trHeight w:val="1190"/>
        </w:trPr>
        <w:tc>
          <w:tcPr>
            <w:tcW w:w="1702" w:type="dxa"/>
            <w:tcBorders>
              <w:bottom w:val="single" w:sz="4" w:space="0" w:color="auto"/>
            </w:tcBorders>
            <w:shd w:val="clear" w:color="auto" w:fill="D0CECE" w:themeFill="background2" w:themeFillShade="E6"/>
            <w:vAlign w:val="center"/>
          </w:tcPr>
          <w:p w14:paraId="6D231A0B" w14:textId="09C13E87"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3.2.1</w:t>
            </w:r>
          </w:p>
        </w:tc>
        <w:tc>
          <w:tcPr>
            <w:tcW w:w="2400" w:type="dxa"/>
            <w:tcBorders>
              <w:bottom w:val="single" w:sz="4" w:space="0" w:color="auto"/>
            </w:tcBorders>
            <w:shd w:val="clear" w:color="auto" w:fill="D0CECE" w:themeFill="background2" w:themeFillShade="E6"/>
            <w:vAlign w:val="center"/>
          </w:tcPr>
          <w:p w14:paraId="76AB136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C14368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4E7D9AD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3AAC96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09FC77D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358D3DC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687E59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680AE9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31B5FE8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2DF1E1E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337312A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609EBCE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4C19A8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5252C247"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747776B4" w14:textId="77777777" w:rsidTr="005B7DD9">
        <w:trPr>
          <w:trHeight w:val="688"/>
        </w:trPr>
        <w:tc>
          <w:tcPr>
            <w:tcW w:w="1702" w:type="dxa"/>
            <w:vAlign w:val="center"/>
          </w:tcPr>
          <w:p w14:paraId="69D74EDE" w14:textId="176518B8"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Sistemas de información del nivel nacional y subnacional fortalecidos para el monitoreo de la restauración, conectividad, conservación de la biodiversidad y los SE</w:t>
            </w:r>
          </w:p>
        </w:tc>
        <w:tc>
          <w:tcPr>
            <w:tcW w:w="2400" w:type="dxa"/>
            <w:vAlign w:val="center"/>
          </w:tcPr>
          <w:p w14:paraId="03F97923" w14:textId="6CA01221" w:rsidR="003656FC" w:rsidRPr="00DE692F" w:rsidRDefault="00BA5D3E"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14A8E911" w14:textId="7878AD89"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2F01F13E" w14:textId="5A090D00" w:rsidR="003656FC" w:rsidRPr="00DE692F" w:rsidRDefault="00BA5D3E"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7890969C" w14:textId="05F5F978"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5DEEDCA0" w14:textId="7CA03673" w:rsidR="003656FC" w:rsidRPr="00DE692F" w:rsidRDefault="00BA5D3E"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2F92CD01" w14:textId="4870281E"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2DCF61E7" w14:textId="06CA7F1B"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07EB99C9" w14:textId="03926D53"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r>
      <w:tr w:rsidR="003656FC" w:rsidRPr="00DE692F" w14:paraId="13948A79" w14:textId="77777777" w:rsidTr="005B7DD9">
        <w:trPr>
          <w:trHeight w:val="176"/>
        </w:trPr>
        <w:tc>
          <w:tcPr>
            <w:tcW w:w="11482" w:type="dxa"/>
            <w:gridSpan w:val="9"/>
            <w:shd w:val="clear" w:color="auto" w:fill="D0CECE" w:themeFill="background2" w:themeFillShade="E6"/>
            <w:vAlign w:val="center"/>
          </w:tcPr>
          <w:p w14:paraId="2611CA8F"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639D67CA" w14:textId="77777777" w:rsidTr="005B7DD9">
        <w:trPr>
          <w:trHeight w:val="294"/>
        </w:trPr>
        <w:tc>
          <w:tcPr>
            <w:tcW w:w="1702" w:type="dxa"/>
            <w:vAlign w:val="center"/>
          </w:tcPr>
          <w:p w14:paraId="4490F21D" w14:textId="7DAF09F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3.2.1.1</w:t>
            </w:r>
          </w:p>
        </w:tc>
        <w:tc>
          <w:tcPr>
            <w:tcW w:w="9780" w:type="dxa"/>
            <w:gridSpan w:val="8"/>
            <w:vAlign w:val="center"/>
          </w:tcPr>
          <w:p w14:paraId="07A5182F" w14:textId="7419A95A"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Fortalecimiento de los sistemas de información y plataformas para el monitoreo de la restauración, conectividad, conservación de la biodiversidad y los SE a nivel nacional y sub nacional (proyectos de inversión)</w:t>
            </w:r>
          </w:p>
        </w:tc>
      </w:tr>
      <w:tr w:rsidR="003656FC" w:rsidRPr="00DE692F" w14:paraId="155BFC69" w14:textId="77777777" w:rsidTr="005B7DD9">
        <w:trPr>
          <w:trHeight w:val="256"/>
        </w:trPr>
        <w:tc>
          <w:tcPr>
            <w:tcW w:w="1702" w:type="dxa"/>
            <w:vAlign w:val="center"/>
          </w:tcPr>
          <w:p w14:paraId="28A38A60" w14:textId="7676731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3.2.1.2</w:t>
            </w:r>
          </w:p>
        </w:tc>
        <w:tc>
          <w:tcPr>
            <w:tcW w:w="9780" w:type="dxa"/>
            <w:gridSpan w:val="8"/>
            <w:vAlign w:val="center"/>
          </w:tcPr>
          <w:p w14:paraId="25003E1F" w14:textId="0FB72D9F"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e implementación de planes de fortalecimiento de sistemas de información, plataformas a nivel nacional y subnacional para el monitoreo de la restauración, conectividad, conservación de la biodiversidad</w:t>
            </w:r>
          </w:p>
        </w:tc>
      </w:tr>
      <w:tr w:rsidR="003656FC" w:rsidRPr="00DE692F" w14:paraId="1F0F95DF" w14:textId="77777777" w:rsidTr="005B7DD9">
        <w:trPr>
          <w:trHeight w:val="688"/>
        </w:trPr>
        <w:tc>
          <w:tcPr>
            <w:tcW w:w="4962" w:type="dxa"/>
            <w:gridSpan w:val="3"/>
            <w:tcBorders>
              <w:bottom w:val="single" w:sz="4" w:space="0" w:color="auto"/>
            </w:tcBorders>
            <w:vAlign w:val="center"/>
          </w:tcPr>
          <w:p w14:paraId="7825EBC5" w14:textId="2456A8C2" w:rsidR="00BA5D3E" w:rsidRPr="00DE692F" w:rsidRDefault="00DE25AF" w:rsidP="00BA5D3E">
            <w:pPr>
              <w:tabs>
                <w:tab w:val="left" w:pos="4680"/>
              </w:tabs>
              <w:rPr>
                <w:rFonts w:asciiTheme="minorHAnsi" w:hAnsiTheme="minorHAnsi" w:cstheme="minorHAnsi"/>
                <w:sz w:val="16"/>
                <w:szCs w:val="16"/>
              </w:rPr>
            </w:pPr>
            <w:r>
              <w:rPr>
                <w:rFonts w:asciiTheme="minorHAnsi" w:hAnsiTheme="minorHAnsi" w:cstheme="minorHAnsi"/>
                <w:sz w:val="16"/>
                <w:szCs w:val="16"/>
              </w:rPr>
              <w:t xml:space="preserve">El 2025, ha sido un año de preparación y coordinación para este producto, por ello, </w:t>
            </w:r>
            <w:r w:rsidR="00BA5D3E">
              <w:rPr>
                <w:rFonts w:asciiTheme="minorHAnsi" w:hAnsiTheme="minorHAnsi" w:cstheme="minorHAnsi"/>
                <w:sz w:val="16"/>
                <w:szCs w:val="16"/>
              </w:rPr>
              <w:t>en alianza con la DGOTGIRN del MINAM s</w:t>
            </w:r>
            <w:r w:rsidR="00BA5D3E" w:rsidRPr="00DE692F">
              <w:rPr>
                <w:rFonts w:asciiTheme="minorHAnsi" w:hAnsiTheme="minorHAnsi" w:cstheme="minorHAnsi"/>
                <w:sz w:val="16"/>
                <w:szCs w:val="16"/>
              </w:rPr>
              <w:t>e ha</w:t>
            </w:r>
            <w:r w:rsidR="00BA5D3E">
              <w:rPr>
                <w:rFonts w:asciiTheme="minorHAnsi" w:hAnsiTheme="minorHAnsi" w:cstheme="minorHAnsi"/>
                <w:sz w:val="16"/>
                <w:szCs w:val="16"/>
              </w:rPr>
              <w:t>n</w:t>
            </w:r>
            <w:r w:rsidR="00BA5D3E" w:rsidRPr="00DE692F">
              <w:rPr>
                <w:rFonts w:asciiTheme="minorHAnsi" w:hAnsiTheme="minorHAnsi" w:cstheme="minorHAnsi"/>
                <w:sz w:val="16"/>
                <w:szCs w:val="16"/>
              </w:rPr>
              <w:t xml:space="preserve"> desarrollado los términos de referencia para la elaboración de la Guia de evaluación de ecosistemas de Bosque Altimontano de Yunga, como una herramienta para poder medir y monitorear en el tiempo el estado de dicho ecosistema. Este servicio brindará una herramienta importante al MINAM para brindar asistencia técnica </w:t>
            </w:r>
            <w:r w:rsidR="0043522F" w:rsidRPr="00DE692F">
              <w:rPr>
                <w:rFonts w:asciiTheme="minorHAnsi" w:hAnsiTheme="minorHAnsi" w:cstheme="minorHAnsi"/>
                <w:sz w:val="16"/>
                <w:szCs w:val="16"/>
              </w:rPr>
              <w:t>en relación con</w:t>
            </w:r>
            <w:r w:rsidR="00BA5D3E" w:rsidRPr="00DE692F">
              <w:rPr>
                <w:rFonts w:asciiTheme="minorHAnsi" w:hAnsiTheme="minorHAnsi" w:cstheme="minorHAnsi"/>
                <w:sz w:val="16"/>
                <w:szCs w:val="16"/>
              </w:rPr>
              <w:t xml:space="preserve"> este ecosistema relevante</w:t>
            </w:r>
            <w:r w:rsidR="00BA5D3E">
              <w:rPr>
                <w:rFonts w:asciiTheme="minorHAnsi" w:hAnsiTheme="minorHAnsi" w:cstheme="minorHAnsi"/>
                <w:sz w:val="16"/>
                <w:szCs w:val="16"/>
              </w:rPr>
              <w:t xml:space="preserve"> a las regiones correspondientes y así también fortalecer los sistemas de información</w:t>
            </w:r>
            <w:r w:rsidR="00BA5D3E" w:rsidRPr="00DE692F">
              <w:rPr>
                <w:rFonts w:asciiTheme="minorHAnsi" w:hAnsiTheme="minorHAnsi" w:cstheme="minorHAnsi"/>
                <w:sz w:val="16"/>
                <w:szCs w:val="16"/>
              </w:rPr>
              <w:t>.</w:t>
            </w:r>
          </w:p>
          <w:p w14:paraId="35E0581F" w14:textId="17EDF9F2" w:rsidR="00BD7994" w:rsidRPr="00DE692F" w:rsidRDefault="00BD7994" w:rsidP="00BA5D3E">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5C372E60" w14:textId="77777777" w:rsidR="005B0E81" w:rsidRDefault="005B0E81" w:rsidP="00BD7994">
            <w:pPr>
              <w:tabs>
                <w:tab w:val="left" w:pos="4680"/>
              </w:tabs>
              <w:rPr>
                <w:rFonts w:asciiTheme="minorHAnsi" w:hAnsiTheme="minorHAnsi" w:cstheme="minorHAnsi"/>
                <w:sz w:val="16"/>
                <w:szCs w:val="16"/>
              </w:rPr>
            </w:pPr>
          </w:p>
          <w:p w14:paraId="045C70B0" w14:textId="789C2AA4" w:rsidR="005B0E81" w:rsidRPr="005B0E81" w:rsidRDefault="005B0E81" w:rsidP="005B0E81">
            <w:pPr>
              <w:tabs>
                <w:tab w:val="left" w:pos="4680"/>
              </w:tabs>
              <w:rPr>
                <w:rFonts w:asciiTheme="minorHAnsi" w:hAnsiTheme="minorHAnsi" w:cstheme="minorHAnsi"/>
                <w:sz w:val="16"/>
                <w:szCs w:val="16"/>
              </w:rPr>
            </w:pPr>
            <w:r w:rsidRPr="005B0E81">
              <w:rPr>
                <w:rFonts w:asciiTheme="minorHAnsi" w:hAnsiTheme="minorHAnsi" w:cstheme="minorHAnsi"/>
                <w:sz w:val="16"/>
                <w:szCs w:val="16"/>
              </w:rPr>
              <w:t xml:space="preserve">A nivel de conectividad, persisten brechas de información que requieren ser abordadas de manera articulada. En ese marco, durante el año 2025 se avanzó en coordinaciones con la DGDB-MINAM y el SERNANP respecto al alcance y la metodología para el desarrollo de estos estudios. Si bien se registran </w:t>
            </w:r>
            <w:r>
              <w:rPr>
                <w:rFonts w:asciiTheme="minorHAnsi" w:hAnsiTheme="minorHAnsi" w:cstheme="minorHAnsi"/>
                <w:sz w:val="16"/>
                <w:szCs w:val="16"/>
              </w:rPr>
              <w:t>avances</w:t>
            </w:r>
            <w:r w:rsidRPr="005B0E81">
              <w:rPr>
                <w:rFonts w:asciiTheme="minorHAnsi" w:hAnsiTheme="minorHAnsi" w:cstheme="minorHAnsi"/>
                <w:sz w:val="16"/>
                <w:szCs w:val="16"/>
              </w:rPr>
              <w:t>, aún no se dispone de una metodología consensuada y estandarizada a nivel nacional para la evaluación de la conectividad funcional.</w:t>
            </w:r>
          </w:p>
          <w:p w14:paraId="7AA174ED" w14:textId="02F67A02" w:rsidR="003656FC" w:rsidRPr="00DE692F" w:rsidRDefault="005B0E81" w:rsidP="00BD7994">
            <w:pPr>
              <w:tabs>
                <w:tab w:val="left" w:pos="4680"/>
              </w:tabs>
              <w:rPr>
                <w:rFonts w:asciiTheme="minorHAnsi" w:hAnsiTheme="minorHAnsi" w:cstheme="minorHAnsi"/>
                <w:sz w:val="16"/>
                <w:szCs w:val="16"/>
              </w:rPr>
            </w:pPr>
            <w:r>
              <w:rPr>
                <w:rFonts w:asciiTheme="minorHAnsi" w:hAnsiTheme="minorHAnsi" w:cstheme="minorHAnsi"/>
                <w:sz w:val="16"/>
                <w:szCs w:val="16"/>
              </w:rPr>
              <w:t>Asimismo, u</w:t>
            </w:r>
            <w:r w:rsidRPr="005B0E81">
              <w:rPr>
                <w:rFonts w:asciiTheme="minorHAnsi" w:hAnsiTheme="minorHAnsi" w:cstheme="minorHAnsi"/>
                <w:sz w:val="16"/>
                <w:szCs w:val="16"/>
              </w:rPr>
              <w:t xml:space="preserve">na de las principales limitaciones para </w:t>
            </w:r>
            <w:r>
              <w:rPr>
                <w:rFonts w:asciiTheme="minorHAnsi" w:hAnsiTheme="minorHAnsi" w:cstheme="minorHAnsi"/>
                <w:sz w:val="16"/>
                <w:szCs w:val="16"/>
              </w:rPr>
              <w:t>el avance de</w:t>
            </w:r>
            <w:r w:rsidRPr="005B0E81">
              <w:rPr>
                <w:rFonts w:asciiTheme="minorHAnsi" w:hAnsiTheme="minorHAnsi" w:cstheme="minorHAnsi"/>
                <w:sz w:val="16"/>
                <w:szCs w:val="16"/>
              </w:rPr>
              <w:t xml:space="preserve"> este producto radica en que el país se encuentra todavía en proceso de definición del enfoque que orientará el monitoreo de la restauración y la conectividad a escala nacional. En 2025, el MINAM, a través de la Dirección General de Diversidad Biológica, junto con otros actores clave, ha venido elaborando la Hoja de Ruta Integrada para las metas 2 y 3 del Marco Mundial de Biodiversidad de Kunming-Montreal, en la cual se identifican y priorizan ecosistemas estratégicos, entre ellos el Bosque Altimontano de Yunga. Para este ecosistema se ha planteado como meta reducir en 50 % la degradación promedio anual al 2030 y recuperar aproximadamente 670 000 ha, estimadas sobre el 50 % del área degradada al 2022.</w:t>
            </w:r>
          </w:p>
        </w:tc>
      </w:tr>
      <w:tr w:rsidR="003656FC" w:rsidRPr="00DE692F" w14:paraId="65750AC4" w14:textId="77777777" w:rsidTr="005B7DD9">
        <w:trPr>
          <w:trHeight w:val="1190"/>
        </w:trPr>
        <w:tc>
          <w:tcPr>
            <w:tcW w:w="1702" w:type="dxa"/>
            <w:tcBorders>
              <w:bottom w:val="single" w:sz="4" w:space="0" w:color="auto"/>
            </w:tcBorders>
            <w:shd w:val="clear" w:color="auto" w:fill="D0CECE" w:themeFill="background2" w:themeFillShade="E6"/>
            <w:vAlign w:val="center"/>
          </w:tcPr>
          <w:p w14:paraId="33F54389" w14:textId="32715FC9"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3.2.2</w:t>
            </w:r>
          </w:p>
        </w:tc>
        <w:tc>
          <w:tcPr>
            <w:tcW w:w="2400" w:type="dxa"/>
            <w:tcBorders>
              <w:bottom w:val="single" w:sz="4" w:space="0" w:color="auto"/>
            </w:tcBorders>
            <w:shd w:val="clear" w:color="auto" w:fill="D0CECE" w:themeFill="background2" w:themeFillShade="E6"/>
            <w:vAlign w:val="center"/>
          </w:tcPr>
          <w:p w14:paraId="632CA91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4360051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55B10BF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425DCA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3B8FA4A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10AD53C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64746F8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1E6A31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680CAE6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498AC27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B521E8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486AD53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582C8F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45659795"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5937B8DA" w14:textId="77777777" w:rsidTr="005B7DD9">
        <w:trPr>
          <w:trHeight w:val="688"/>
        </w:trPr>
        <w:tc>
          <w:tcPr>
            <w:tcW w:w="1702" w:type="dxa"/>
            <w:vAlign w:val="center"/>
          </w:tcPr>
          <w:p w14:paraId="562AE0A9" w14:textId="72DBD86D"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Proyectos de inversión pública para tipologías ecosistémicas, restauración y conservación de </w:t>
            </w:r>
            <w:r w:rsidRPr="00DE692F">
              <w:rPr>
                <w:rFonts w:asciiTheme="minorHAnsi" w:eastAsiaTheme="minorEastAsia" w:hAnsiTheme="minorHAnsi" w:cstheme="minorHAnsi"/>
                <w:sz w:val="16"/>
                <w:szCs w:val="16"/>
              </w:rPr>
              <w:lastRenderedPageBreak/>
              <w:t>suelos degradados; iniciativas privadas de restauración; y acuerdos de conservación integrados a los sistemas nacionales y subnacionales de monitoreo, incorporando criterios de género</w:t>
            </w:r>
          </w:p>
        </w:tc>
        <w:tc>
          <w:tcPr>
            <w:tcW w:w="2400" w:type="dxa"/>
            <w:vAlign w:val="center"/>
          </w:tcPr>
          <w:p w14:paraId="45F99CF8" w14:textId="1F5224AE"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1407AD50" w14:textId="63DE3C64"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05909A07" w14:textId="1A8BBDD1"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1771A85B" w14:textId="784B77B8"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7E546C2B" w14:textId="52687B76"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07C6A7E8" w14:textId="4C77A4E1"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6B24338A" w14:textId="1CCE6501"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66DA212D" w14:textId="2A64E0E6"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r>
      <w:tr w:rsidR="003656FC" w:rsidRPr="00DE692F" w14:paraId="355A0385" w14:textId="77777777" w:rsidTr="005B7DD9">
        <w:trPr>
          <w:trHeight w:val="176"/>
        </w:trPr>
        <w:tc>
          <w:tcPr>
            <w:tcW w:w="11482" w:type="dxa"/>
            <w:gridSpan w:val="9"/>
            <w:shd w:val="clear" w:color="auto" w:fill="D0CECE" w:themeFill="background2" w:themeFillShade="E6"/>
            <w:vAlign w:val="center"/>
          </w:tcPr>
          <w:p w14:paraId="49BB668D"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7C24B9E8" w14:textId="77777777" w:rsidTr="005B7DD9">
        <w:trPr>
          <w:trHeight w:val="294"/>
        </w:trPr>
        <w:tc>
          <w:tcPr>
            <w:tcW w:w="1702" w:type="dxa"/>
            <w:vAlign w:val="center"/>
          </w:tcPr>
          <w:p w14:paraId="5945C60E" w14:textId="67B6ED0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3.2.2.1</w:t>
            </w:r>
          </w:p>
        </w:tc>
        <w:tc>
          <w:tcPr>
            <w:tcW w:w="9780" w:type="dxa"/>
            <w:gridSpan w:val="8"/>
            <w:vAlign w:val="center"/>
          </w:tcPr>
          <w:p w14:paraId="64CBDE86" w14:textId="01B9786D"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un protocolo de integración de resultados de restauración, conectividad, conservación de la biodiversidad en las plataformas nacionales y subnacionales incluyendo criterios de género</w:t>
            </w:r>
          </w:p>
        </w:tc>
      </w:tr>
      <w:tr w:rsidR="003656FC" w:rsidRPr="00DE692F" w14:paraId="1A928838" w14:textId="77777777" w:rsidTr="005B7DD9">
        <w:trPr>
          <w:trHeight w:val="688"/>
        </w:trPr>
        <w:tc>
          <w:tcPr>
            <w:tcW w:w="4962" w:type="dxa"/>
            <w:gridSpan w:val="3"/>
            <w:tcBorders>
              <w:bottom w:val="single" w:sz="4" w:space="0" w:color="auto"/>
            </w:tcBorders>
            <w:vAlign w:val="center"/>
          </w:tcPr>
          <w:p w14:paraId="7A39BADA" w14:textId="05739AC3" w:rsidR="003656FC" w:rsidRPr="00DE692F" w:rsidRDefault="003656FC" w:rsidP="000C68E3">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53B35D55" w14:textId="186F219A" w:rsidR="00304F38" w:rsidRDefault="00304F38"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En el año 2025</w:t>
            </w:r>
            <w:r w:rsidR="005B0E81">
              <w:rPr>
                <w:rFonts w:asciiTheme="minorHAnsi" w:hAnsiTheme="minorHAnsi" w:cstheme="minorHAnsi"/>
                <w:sz w:val="16"/>
                <w:szCs w:val="16"/>
              </w:rPr>
              <w:t>, en coordinación con el MINAM</w:t>
            </w:r>
            <w:r w:rsidRPr="00DE692F">
              <w:rPr>
                <w:rFonts w:asciiTheme="minorHAnsi" w:hAnsiTheme="minorHAnsi" w:cstheme="minorHAnsi"/>
                <w:sz w:val="16"/>
                <w:szCs w:val="16"/>
              </w:rPr>
              <w:t xml:space="preserve"> se ha avanzado </w:t>
            </w:r>
            <w:r w:rsidR="00D36E31">
              <w:rPr>
                <w:rFonts w:asciiTheme="minorHAnsi" w:hAnsiTheme="minorHAnsi" w:cstheme="minorHAnsi"/>
                <w:sz w:val="16"/>
                <w:szCs w:val="16"/>
              </w:rPr>
              <w:t xml:space="preserve">con </w:t>
            </w:r>
            <w:r w:rsidRPr="00DE692F">
              <w:rPr>
                <w:rFonts w:asciiTheme="minorHAnsi" w:hAnsiTheme="minorHAnsi" w:cstheme="minorHAnsi"/>
                <w:sz w:val="16"/>
                <w:szCs w:val="16"/>
              </w:rPr>
              <w:t>la definición del alcance de la actividad de monitoreo</w:t>
            </w:r>
            <w:r w:rsidR="005B0E81">
              <w:rPr>
                <w:rFonts w:asciiTheme="minorHAnsi" w:hAnsiTheme="minorHAnsi" w:cstheme="minorHAnsi"/>
                <w:sz w:val="16"/>
                <w:szCs w:val="16"/>
              </w:rPr>
              <w:t xml:space="preserve"> de la restauración</w:t>
            </w:r>
            <w:r w:rsidR="00405D88">
              <w:rPr>
                <w:rFonts w:asciiTheme="minorHAnsi" w:hAnsiTheme="minorHAnsi" w:cstheme="minorHAnsi"/>
                <w:sz w:val="16"/>
                <w:szCs w:val="16"/>
              </w:rPr>
              <w:t xml:space="preserve">, </w:t>
            </w:r>
            <w:r w:rsidRPr="00DE692F">
              <w:rPr>
                <w:rFonts w:asciiTheme="minorHAnsi" w:hAnsiTheme="minorHAnsi" w:cstheme="minorHAnsi"/>
                <w:sz w:val="16"/>
                <w:szCs w:val="16"/>
              </w:rPr>
              <w:t>la cual se ha plasmado en los términos de referencia para el desarrollo del piloto del procedimiento de monitoreo y evaluación de recuperación de ecosistemas, la cual se implementará en el año 2026</w:t>
            </w:r>
            <w:r w:rsidR="00405D88">
              <w:rPr>
                <w:rFonts w:asciiTheme="minorHAnsi" w:hAnsiTheme="minorHAnsi" w:cstheme="minorHAnsi"/>
                <w:sz w:val="16"/>
                <w:szCs w:val="16"/>
              </w:rPr>
              <w:t xml:space="preserve">, que busca establecer un procedimiento para operativizar y vincular las intervenciones </w:t>
            </w:r>
            <w:r w:rsidR="00750358">
              <w:rPr>
                <w:rFonts w:asciiTheme="minorHAnsi" w:hAnsiTheme="minorHAnsi" w:cstheme="minorHAnsi"/>
                <w:sz w:val="16"/>
                <w:szCs w:val="16"/>
              </w:rPr>
              <w:t xml:space="preserve">de restauración con </w:t>
            </w:r>
            <w:r w:rsidR="00405D88">
              <w:rPr>
                <w:rFonts w:asciiTheme="minorHAnsi" w:hAnsiTheme="minorHAnsi" w:cstheme="minorHAnsi"/>
                <w:sz w:val="16"/>
                <w:szCs w:val="16"/>
              </w:rPr>
              <w:t>el monitoreo</w:t>
            </w:r>
            <w:r w:rsidRPr="00DE692F">
              <w:rPr>
                <w:rFonts w:asciiTheme="minorHAnsi" w:hAnsiTheme="minorHAnsi" w:cstheme="minorHAnsi"/>
                <w:sz w:val="16"/>
                <w:szCs w:val="16"/>
              </w:rPr>
              <w:t>.</w:t>
            </w:r>
            <w:r w:rsidR="005B0E81">
              <w:rPr>
                <w:rFonts w:asciiTheme="minorHAnsi" w:hAnsiTheme="minorHAnsi" w:cstheme="minorHAnsi"/>
                <w:sz w:val="16"/>
                <w:szCs w:val="16"/>
              </w:rPr>
              <w:t xml:space="preserve"> </w:t>
            </w:r>
          </w:p>
          <w:p w14:paraId="13C22859" w14:textId="23A28E1C" w:rsidR="003656FC" w:rsidRPr="00750358" w:rsidRDefault="005B0E81" w:rsidP="003656FC">
            <w:pPr>
              <w:tabs>
                <w:tab w:val="left" w:pos="4680"/>
              </w:tabs>
              <w:rPr>
                <w:rFonts w:asciiTheme="minorHAnsi" w:eastAsiaTheme="minorEastAsia" w:hAnsiTheme="minorHAnsi" w:cstheme="minorHAnsi"/>
                <w:b/>
                <w:bCs/>
                <w:sz w:val="16"/>
                <w:szCs w:val="16"/>
              </w:rPr>
            </w:pPr>
            <w:r>
              <w:rPr>
                <w:rFonts w:asciiTheme="minorHAnsi" w:hAnsiTheme="minorHAnsi" w:cstheme="minorHAnsi"/>
                <w:sz w:val="16"/>
                <w:szCs w:val="16"/>
              </w:rPr>
              <w:t xml:space="preserve">El desarrollo de este producto, requiere de una mayor articulación con actores a nivel </w:t>
            </w:r>
            <w:r>
              <w:rPr>
                <w:rFonts w:asciiTheme="minorHAnsi" w:eastAsiaTheme="minorEastAsia" w:hAnsiTheme="minorHAnsi" w:cstheme="minorHAnsi"/>
                <w:sz w:val="16"/>
                <w:szCs w:val="16"/>
              </w:rPr>
              <w:t xml:space="preserve">nacional, subnacional, ya sean públicos y privados. </w:t>
            </w:r>
            <w:r w:rsidR="008A48C5">
              <w:rPr>
                <w:rFonts w:asciiTheme="minorHAnsi" w:eastAsiaTheme="minorEastAsia" w:hAnsiTheme="minorHAnsi" w:cstheme="minorHAnsi"/>
                <w:sz w:val="16"/>
                <w:szCs w:val="16"/>
              </w:rPr>
              <w:t>Así mismo requiere de contar con avances (al menos a nivel piloto) del producto anterior.</w:t>
            </w:r>
          </w:p>
        </w:tc>
      </w:tr>
      <w:tr w:rsidR="003656FC" w:rsidRPr="00DE692F" w14:paraId="0A7CBE46" w14:textId="77777777" w:rsidTr="005B7DD9">
        <w:trPr>
          <w:trHeight w:val="1190"/>
        </w:trPr>
        <w:tc>
          <w:tcPr>
            <w:tcW w:w="1702" w:type="dxa"/>
            <w:tcBorders>
              <w:bottom w:val="single" w:sz="4" w:space="0" w:color="auto"/>
            </w:tcBorders>
            <w:shd w:val="clear" w:color="auto" w:fill="D0CECE" w:themeFill="background2" w:themeFillShade="E6"/>
            <w:vAlign w:val="center"/>
          </w:tcPr>
          <w:p w14:paraId="0280946E" w14:textId="74E5C567"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3.2.3</w:t>
            </w:r>
          </w:p>
        </w:tc>
        <w:tc>
          <w:tcPr>
            <w:tcW w:w="2400" w:type="dxa"/>
            <w:tcBorders>
              <w:bottom w:val="single" w:sz="4" w:space="0" w:color="auto"/>
            </w:tcBorders>
            <w:shd w:val="clear" w:color="auto" w:fill="D0CECE" w:themeFill="background2" w:themeFillShade="E6"/>
            <w:vAlign w:val="center"/>
          </w:tcPr>
          <w:p w14:paraId="19CAE96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868B2B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039C097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1423F9E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43375E2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3E22BC7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55A57FC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49236E2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6F46845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7F510A0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2FB70F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632957E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41EC84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BF754CA"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7D7245A2" w14:textId="77777777" w:rsidTr="005B7DD9">
        <w:trPr>
          <w:trHeight w:val="688"/>
        </w:trPr>
        <w:tc>
          <w:tcPr>
            <w:tcW w:w="1702" w:type="dxa"/>
            <w:vAlign w:val="center"/>
          </w:tcPr>
          <w:p w14:paraId="6E9C44B1" w14:textId="1E98CEC8"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Integración de la información sobre resultados de restauración, conectividad y conservación de la biodiversidad a los sistemas de monitoreo de la inversión pública y los compromisos del país en materia de biodiversidad</w:t>
            </w:r>
          </w:p>
        </w:tc>
        <w:tc>
          <w:tcPr>
            <w:tcW w:w="2400" w:type="dxa"/>
            <w:vAlign w:val="center"/>
          </w:tcPr>
          <w:p w14:paraId="7C041C27" w14:textId="0B180F8F"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44B90D10" w14:textId="2991129A"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0A36F343" w14:textId="3BC5A372"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791EF9A6" w14:textId="60D8ADFC"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345C4ADE" w14:textId="314EAC0C"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53B10056" w14:textId="1DC16C8C"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4866CD57" w14:textId="206E00BE"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2AE0643D" w14:textId="371F303F"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r>
      <w:tr w:rsidR="003656FC" w:rsidRPr="00DE692F" w14:paraId="55BEAEFD" w14:textId="77777777" w:rsidTr="005B7DD9">
        <w:trPr>
          <w:trHeight w:val="176"/>
        </w:trPr>
        <w:tc>
          <w:tcPr>
            <w:tcW w:w="11482" w:type="dxa"/>
            <w:gridSpan w:val="9"/>
            <w:shd w:val="clear" w:color="auto" w:fill="D0CECE" w:themeFill="background2" w:themeFillShade="E6"/>
            <w:vAlign w:val="center"/>
          </w:tcPr>
          <w:p w14:paraId="23E65103"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09CD0FA6" w14:textId="77777777" w:rsidTr="005B7DD9">
        <w:trPr>
          <w:trHeight w:val="294"/>
        </w:trPr>
        <w:tc>
          <w:tcPr>
            <w:tcW w:w="1702" w:type="dxa"/>
            <w:vAlign w:val="center"/>
          </w:tcPr>
          <w:p w14:paraId="0F4C0405" w14:textId="02EDF470"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3.2.3.1</w:t>
            </w:r>
          </w:p>
        </w:tc>
        <w:tc>
          <w:tcPr>
            <w:tcW w:w="9780" w:type="dxa"/>
            <w:gridSpan w:val="8"/>
            <w:vAlign w:val="center"/>
          </w:tcPr>
          <w:p w14:paraId="7242DAB4" w14:textId="6C1669EE"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Integración de los resultados de PIP, iniciativas privadas, acuerdos de conservación en los sistemas de monitoreo del nivel nacional y subnacional incluyendo criterios de género</w:t>
            </w:r>
          </w:p>
        </w:tc>
      </w:tr>
      <w:tr w:rsidR="003656FC" w:rsidRPr="00DE692F" w14:paraId="242FBC2A" w14:textId="77777777" w:rsidTr="005B7DD9">
        <w:trPr>
          <w:trHeight w:val="688"/>
        </w:trPr>
        <w:tc>
          <w:tcPr>
            <w:tcW w:w="4962" w:type="dxa"/>
            <w:gridSpan w:val="3"/>
            <w:tcBorders>
              <w:bottom w:val="single" w:sz="4" w:space="0" w:color="auto"/>
            </w:tcBorders>
            <w:vAlign w:val="center"/>
          </w:tcPr>
          <w:p w14:paraId="348B34DE" w14:textId="59F39E5C" w:rsidR="003656FC" w:rsidRPr="00DE692F" w:rsidRDefault="003656FC" w:rsidP="008A48C5">
            <w:pPr>
              <w:tabs>
                <w:tab w:val="left" w:pos="4680"/>
              </w:tabs>
              <w:rPr>
                <w:rFonts w:asciiTheme="minorHAnsi" w:hAnsiTheme="minorHAnsi" w:cstheme="minorHAnsi"/>
                <w:sz w:val="16"/>
                <w:szCs w:val="16"/>
              </w:rPr>
            </w:pPr>
          </w:p>
        </w:tc>
        <w:tc>
          <w:tcPr>
            <w:tcW w:w="6520" w:type="dxa"/>
            <w:gridSpan w:val="6"/>
            <w:tcBorders>
              <w:bottom w:val="single" w:sz="4" w:space="0" w:color="auto"/>
            </w:tcBorders>
            <w:vAlign w:val="center"/>
          </w:tcPr>
          <w:p w14:paraId="5B77F646" w14:textId="27E41637" w:rsidR="000C68E3" w:rsidRPr="009864EF" w:rsidRDefault="00750358"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Respecto a este producto, se requiere contar con </w:t>
            </w:r>
            <w:r w:rsidR="006D23C5">
              <w:rPr>
                <w:rFonts w:asciiTheme="minorHAnsi" w:eastAsiaTheme="minorEastAsia" w:hAnsiTheme="minorHAnsi" w:cstheme="minorHAnsi"/>
                <w:sz w:val="16"/>
                <w:szCs w:val="16"/>
              </w:rPr>
              <w:t>los pilotos señalados anteriormente</w:t>
            </w:r>
            <w:r>
              <w:rPr>
                <w:rFonts w:asciiTheme="minorHAnsi" w:eastAsiaTheme="minorEastAsia" w:hAnsiTheme="minorHAnsi" w:cstheme="minorHAnsi"/>
                <w:sz w:val="16"/>
                <w:szCs w:val="16"/>
              </w:rPr>
              <w:t xml:space="preserve"> (producto 3.2.2), para iniciar la ruta hacia la </w:t>
            </w:r>
            <w:r w:rsidR="00304F38">
              <w:rPr>
                <w:rFonts w:asciiTheme="minorHAnsi" w:eastAsiaTheme="minorEastAsia" w:hAnsiTheme="minorHAnsi" w:cstheme="minorHAnsi"/>
                <w:sz w:val="16"/>
                <w:szCs w:val="16"/>
              </w:rPr>
              <w:t>integración de los resultados en los sistemas de monitoreo, ya que esta actividad está relacionada con el avance de</w:t>
            </w:r>
            <w:r>
              <w:rPr>
                <w:rFonts w:asciiTheme="minorHAnsi" w:eastAsiaTheme="minorEastAsia" w:hAnsiTheme="minorHAnsi" w:cstheme="minorHAnsi"/>
                <w:sz w:val="16"/>
                <w:szCs w:val="16"/>
              </w:rPr>
              <w:t xml:space="preserve"> </w:t>
            </w:r>
            <w:r w:rsidR="00304F38">
              <w:rPr>
                <w:rFonts w:asciiTheme="minorHAnsi" w:eastAsiaTheme="minorEastAsia" w:hAnsiTheme="minorHAnsi" w:cstheme="minorHAnsi"/>
                <w:sz w:val="16"/>
                <w:szCs w:val="16"/>
              </w:rPr>
              <w:t>l</w:t>
            </w:r>
            <w:r>
              <w:rPr>
                <w:rFonts w:asciiTheme="minorHAnsi" w:eastAsiaTheme="minorEastAsia" w:hAnsiTheme="minorHAnsi" w:cstheme="minorHAnsi"/>
                <w:sz w:val="16"/>
                <w:szCs w:val="16"/>
              </w:rPr>
              <w:t xml:space="preserve">os productos anteriores. </w:t>
            </w:r>
          </w:p>
        </w:tc>
      </w:tr>
      <w:tr w:rsidR="003656FC" w:rsidRPr="00DE692F" w14:paraId="50D57B3C"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26AFF8D0" w14:textId="3D56483C"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4:  </w:t>
            </w:r>
            <w:r w:rsidRPr="00DE692F">
              <w:rPr>
                <w:rFonts w:asciiTheme="minorHAnsi" w:eastAsiaTheme="minorEastAsia" w:hAnsiTheme="minorHAnsi" w:cstheme="minorHAnsi"/>
                <w:sz w:val="16"/>
                <w:szCs w:val="16"/>
              </w:rPr>
              <w:t>Coordinación, M&amp;E y Gestión del Conocimiento (GdC)</w:t>
            </w:r>
          </w:p>
          <w:p w14:paraId="47E900EE" w14:textId="73A21B28"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7:  </w:t>
            </w:r>
            <w:r w:rsidRPr="00DE692F">
              <w:rPr>
                <w:rFonts w:asciiTheme="minorHAnsi" w:eastAsiaTheme="minorEastAsia" w:hAnsiTheme="minorHAnsi" w:cstheme="minorHAnsi"/>
                <w:sz w:val="16"/>
                <w:szCs w:val="16"/>
              </w:rPr>
              <w:t>Los resultados de los Componentes 1, 2 y 3 se logran exitosamente con el apoyo de la comunicación, capacitación y gestión del conocimiento, estrategias que se articulan con la Plataforma Global K2A de FOLUR; y Las prácticas exitosas se replican en otras regiones y apoyan las plataformas de CLD a nivel global.</w:t>
            </w:r>
          </w:p>
        </w:tc>
      </w:tr>
      <w:tr w:rsidR="003656FC" w:rsidRPr="00DE692F" w14:paraId="7801FF94" w14:textId="77777777" w:rsidTr="005B7DD9">
        <w:trPr>
          <w:trHeight w:val="1190"/>
        </w:trPr>
        <w:tc>
          <w:tcPr>
            <w:tcW w:w="1702" w:type="dxa"/>
            <w:tcBorders>
              <w:bottom w:val="single" w:sz="4" w:space="0" w:color="auto"/>
            </w:tcBorders>
            <w:shd w:val="clear" w:color="auto" w:fill="D0CECE" w:themeFill="background2" w:themeFillShade="E6"/>
            <w:vAlign w:val="center"/>
          </w:tcPr>
          <w:p w14:paraId="56525DD7" w14:textId="326DF9D1"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4.1.1</w:t>
            </w:r>
          </w:p>
        </w:tc>
        <w:tc>
          <w:tcPr>
            <w:tcW w:w="2400" w:type="dxa"/>
            <w:tcBorders>
              <w:bottom w:val="single" w:sz="4" w:space="0" w:color="auto"/>
            </w:tcBorders>
            <w:shd w:val="clear" w:color="auto" w:fill="D0CECE" w:themeFill="background2" w:themeFillShade="E6"/>
            <w:vAlign w:val="center"/>
          </w:tcPr>
          <w:p w14:paraId="30E6DEF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2405809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022374F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54B7D4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5C11DA3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33EC92FF"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15D00A8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6930478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7C354DF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23FC54CC"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224DD0C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1E4F44C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20D472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326F6EFF"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63A9A6B8" w14:textId="77777777" w:rsidTr="005B7DD9">
        <w:trPr>
          <w:trHeight w:val="688"/>
        </w:trPr>
        <w:tc>
          <w:tcPr>
            <w:tcW w:w="1702" w:type="dxa"/>
            <w:vAlign w:val="center"/>
          </w:tcPr>
          <w:p w14:paraId="7FB6D3E3" w14:textId="093D289E"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Una estrategia de comunicación y gestión del </w:t>
            </w:r>
            <w:r w:rsidRPr="00DE692F">
              <w:rPr>
                <w:rFonts w:asciiTheme="minorHAnsi" w:eastAsiaTheme="minorEastAsia" w:hAnsiTheme="minorHAnsi" w:cstheme="minorHAnsi"/>
                <w:sz w:val="16"/>
                <w:szCs w:val="16"/>
              </w:rPr>
              <w:lastRenderedPageBreak/>
              <w:t>conocimiento del proyecto para integrar plataformas de aprendizaje nacionales e internacionales, incluyendo la Plataforma Global Knowledge to Action (K2A) de FOLUR, que apoya cadenas de valor de CLD, a nivel nacional y subnacional</w:t>
            </w:r>
          </w:p>
        </w:tc>
        <w:tc>
          <w:tcPr>
            <w:tcW w:w="2400" w:type="dxa"/>
            <w:vAlign w:val="center"/>
          </w:tcPr>
          <w:p w14:paraId="23EBA6E0" w14:textId="39AF6883"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226D9926" w14:textId="0FABC35F"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6198FC01" w14:textId="256D7898"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45088ADB" w14:textId="7A69A909"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73C3BAE3" w14:textId="2BBAD87A"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36E593AC" w14:textId="20749BC0"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205EF50B" w14:textId="7C40F2C4"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75EB6C60" w14:textId="693B9B36" w:rsidR="003656FC" w:rsidRPr="00DE692F" w:rsidRDefault="001375E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25</w:t>
            </w:r>
            <w:r>
              <w:rPr>
                <w:rStyle w:val="Refdenotaalpie"/>
                <w:rFonts w:eastAsiaTheme="minorEastAsia" w:cstheme="minorHAnsi"/>
                <w:szCs w:val="16"/>
              </w:rPr>
              <w:footnoteReference w:id="30"/>
            </w:r>
          </w:p>
        </w:tc>
      </w:tr>
      <w:tr w:rsidR="003656FC" w:rsidRPr="00DE692F" w14:paraId="5471484B" w14:textId="77777777" w:rsidTr="005B7DD9">
        <w:trPr>
          <w:trHeight w:val="176"/>
        </w:trPr>
        <w:tc>
          <w:tcPr>
            <w:tcW w:w="11482" w:type="dxa"/>
            <w:gridSpan w:val="9"/>
            <w:shd w:val="clear" w:color="auto" w:fill="D0CECE" w:themeFill="background2" w:themeFillShade="E6"/>
            <w:vAlign w:val="center"/>
          </w:tcPr>
          <w:p w14:paraId="7E6DC6D1"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452E6A59" w14:textId="77777777" w:rsidTr="005B7DD9">
        <w:trPr>
          <w:trHeight w:val="294"/>
        </w:trPr>
        <w:tc>
          <w:tcPr>
            <w:tcW w:w="1702" w:type="dxa"/>
            <w:vAlign w:val="center"/>
          </w:tcPr>
          <w:p w14:paraId="18EF5591" w14:textId="326748AB"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4.1.1.1</w:t>
            </w:r>
          </w:p>
        </w:tc>
        <w:tc>
          <w:tcPr>
            <w:tcW w:w="9780" w:type="dxa"/>
            <w:gridSpan w:val="8"/>
            <w:vAlign w:val="center"/>
          </w:tcPr>
          <w:p w14:paraId="30B259DE" w14:textId="3EE850FD"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Implementación de la estrategia de comunicación y gestión del conocimiento del proyecto que integra plataformas de aprendizaje y actores clave que participan de las cadenas de café y cacao libres de deforestación, cadenas de suministro y cadenas de valor a nivel regional, nacional e internacional</w:t>
            </w:r>
          </w:p>
        </w:tc>
      </w:tr>
      <w:tr w:rsidR="003656FC" w:rsidRPr="00DE692F" w14:paraId="4F92CC16" w14:textId="77777777" w:rsidTr="005B7DD9">
        <w:trPr>
          <w:trHeight w:val="232"/>
        </w:trPr>
        <w:tc>
          <w:tcPr>
            <w:tcW w:w="1702" w:type="dxa"/>
            <w:vAlign w:val="center"/>
          </w:tcPr>
          <w:p w14:paraId="29499FE2" w14:textId="41B97E8E"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4.1.1.3</w:t>
            </w:r>
          </w:p>
        </w:tc>
        <w:tc>
          <w:tcPr>
            <w:tcW w:w="9780" w:type="dxa"/>
            <w:gridSpan w:val="8"/>
            <w:vAlign w:val="center"/>
          </w:tcPr>
          <w:p w14:paraId="088774A6" w14:textId="0438F272"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Contribución de las mejores prácticas, lecciones aprendidas, experiencias y estudios de casos del proyecto a la Plataforma Global Knowledge to Action (K2A) de FOLUR</w:t>
            </w:r>
          </w:p>
        </w:tc>
      </w:tr>
      <w:tr w:rsidR="003656FC" w:rsidRPr="00DE692F" w14:paraId="216A13A7" w14:textId="77777777" w:rsidTr="005B7DD9">
        <w:trPr>
          <w:trHeight w:val="232"/>
        </w:trPr>
        <w:tc>
          <w:tcPr>
            <w:tcW w:w="1702" w:type="dxa"/>
            <w:vAlign w:val="center"/>
          </w:tcPr>
          <w:p w14:paraId="09313FBC" w14:textId="55C2EF0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4.1.1.4</w:t>
            </w:r>
          </w:p>
        </w:tc>
        <w:tc>
          <w:tcPr>
            <w:tcW w:w="9780" w:type="dxa"/>
            <w:gridSpan w:val="8"/>
            <w:vAlign w:val="center"/>
          </w:tcPr>
          <w:p w14:paraId="4166D79A" w14:textId="01B7619F"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Evaluación de opciones, diseño e interconexión de Folur Perú con las plataformas de aprendizaje que apoyan café y cacao libres de deforestación nacionales, internacionales y Plataforma Global Knowledge to Action (K2A) de FOLUR</w:t>
            </w:r>
          </w:p>
        </w:tc>
      </w:tr>
      <w:tr w:rsidR="003656FC" w:rsidRPr="00DE692F" w14:paraId="5C00DD13" w14:textId="77777777" w:rsidTr="005B7DD9">
        <w:trPr>
          <w:trHeight w:val="688"/>
        </w:trPr>
        <w:tc>
          <w:tcPr>
            <w:tcW w:w="4962" w:type="dxa"/>
            <w:gridSpan w:val="3"/>
            <w:tcBorders>
              <w:bottom w:val="single" w:sz="4" w:space="0" w:color="auto"/>
            </w:tcBorders>
            <w:vAlign w:val="center"/>
          </w:tcPr>
          <w:p w14:paraId="59FAF08E" w14:textId="77777777" w:rsidR="003656FC" w:rsidRPr="00DE692F" w:rsidRDefault="003656FC" w:rsidP="003656FC">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05325FE3" w14:textId="77777777" w:rsidR="00F371FD" w:rsidRDefault="003656FC"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Estrategia de gestión de conocimiento elaborada</w:t>
            </w:r>
            <w:r w:rsidR="001375E9">
              <w:rPr>
                <w:rFonts w:asciiTheme="minorHAnsi" w:hAnsiTheme="minorHAnsi" w:cstheme="minorHAnsi"/>
                <w:sz w:val="16"/>
                <w:szCs w:val="16"/>
              </w:rPr>
              <w:t>, al igual que la e</w:t>
            </w:r>
            <w:r w:rsidRPr="00DE692F">
              <w:rPr>
                <w:rFonts w:asciiTheme="minorHAnsi" w:hAnsiTheme="minorHAnsi" w:cstheme="minorHAnsi"/>
                <w:sz w:val="16"/>
                <w:szCs w:val="16"/>
              </w:rPr>
              <w:t>strategia de comunicación</w:t>
            </w:r>
            <w:r w:rsidR="00F371FD">
              <w:rPr>
                <w:rFonts w:asciiTheme="minorHAnsi" w:hAnsiTheme="minorHAnsi" w:cstheme="minorHAnsi"/>
                <w:sz w:val="16"/>
                <w:szCs w:val="16"/>
              </w:rPr>
              <w:t>.</w:t>
            </w:r>
          </w:p>
          <w:p w14:paraId="7D227F9E" w14:textId="287E027E" w:rsidR="00327B02" w:rsidRDefault="001375E9"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Como parte de la implementación de la estrategia de comunicación y gestión del conocimiento, el Proyecto FOLUR Perú, participó </w:t>
            </w:r>
            <w:r w:rsidR="007F4C3D" w:rsidRPr="00DE692F">
              <w:rPr>
                <w:rFonts w:asciiTheme="minorHAnsi" w:hAnsiTheme="minorHAnsi" w:cstheme="minorHAnsi"/>
                <w:sz w:val="16"/>
                <w:szCs w:val="16"/>
              </w:rPr>
              <w:t>en el Primer Taller Regional del Programa FOLUR en América Latina y el Carib</w:t>
            </w:r>
            <w:r>
              <w:rPr>
                <w:rFonts w:asciiTheme="minorHAnsi" w:hAnsiTheme="minorHAnsi" w:cstheme="minorHAnsi"/>
                <w:sz w:val="16"/>
                <w:szCs w:val="16"/>
              </w:rPr>
              <w:t xml:space="preserve">e. </w:t>
            </w:r>
            <w:r w:rsidR="00327B02" w:rsidRPr="00327B02">
              <w:rPr>
                <w:rFonts w:asciiTheme="minorHAnsi" w:hAnsiTheme="minorHAnsi" w:cstheme="minorHAnsi"/>
                <w:sz w:val="16"/>
                <w:szCs w:val="16"/>
              </w:rPr>
              <w:t>Esta participación permitió fortalecer la articulación con la Plataforma Global FOLUR y con los equipos técnicos de los proyectos FOLUR de países vecinos.</w:t>
            </w:r>
            <w:r w:rsidR="00327B02">
              <w:rPr>
                <w:rFonts w:asciiTheme="minorHAnsi" w:hAnsiTheme="minorHAnsi" w:cstheme="minorHAnsi"/>
                <w:sz w:val="16"/>
                <w:szCs w:val="16"/>
              </w:rPr>
              <w:t xml:space="preserve"> </w:t>
            </w:r>
          </w:p>
          <w:p w14:paraId="009EAF8F" w14:textId="1B247660" w:rsidR="00327B02" w:rsidRPr="00F371FD" w:rsidRDefault="00327B02" w:rsidP="003656FC">
            <w:pPr>
              <w:tabs>
                <w:tab w:val="left" w:pos="4680"/>
              </w:tabs>
              <w:rPr>
                <w:rFonts w:asciiTheme="minorHAnsi" w:hAnsiTheme="minorHAnsi" w:cstheme="minorHAnsi"/>
                <w:sz w:val="16"/>
                <w:szCs w:val="16"/>
              </w:rPr>
            </w:pPr>
            <w:r w:rsidRPr="00327B02">
              <w:rPr>
                <w:rFonts w:asciiTheme="minorHAnsi" w:hAnsiTheme="minorHAnsi" w:cstheme="minorHAnsi"/>
                <w:sz w:val="16"/>
                <w:szCs w:val="16"/>
              </w:rPr>
              <w:t xml:space="preserve">Asimismo, se identificaron oportunidades para el intercambio de aprendizajes, así como aspectos de mejora en los mecanismos de gestión del conocimiento del proyecto, en </w:t>
            </w:r>
            <w:r>
              <w:rPr>
                <w:rFonts w:asciiTheme="minorHAnsi" w:hAnsiTheme="minorHAnsi" w:cstheme="minorHAnsi"/>
                <w:sz w:val="16"/>
                <w:szCs w:val="16"/>
              </w:rPr>
              <w:t xml:space="preserve">línea </w:t>
            </w:r>
            <w:r w:rsidRPr="00327B02">
              <w:rPr>
                <w:rFonts w:asciiTheme="minorHAnsi" w:hAnsiTheme="minorHAnsi" w:cstheme="minorHAnsi"/>
                <w:sz w:val="16"/>
                <w:szCs w:val="16"/>
              </w:rPr>
              <w:t>con los instrumentos presentados por la Plataforma Global FOLUR. El espacio también facilitó la recopilación de recomendaciones técnicas orientadas a optimizar la implementación a nivel nacional y a escalar experiencias exitosas. Finalmente, se reconoció el potencial de aprovechar herramientas y plataformas globales que podrían adaptarse para fortalecer los procesos del proyecto en el Perú.</w:t>
            </w:r>
          </w:p>
          <w:p w14:paraId="7D80A5F0" w14:textId="5064B962" w:rsidR="009274F8" w:rsidRPr="00DE692F" w:rsidRDefault="009274F8" w:rsidP="003656FC">
            <w:pPr>
              <w:tabs>
                <w:tab w:val="left" w:pos="4680"/>
              </w:tabs>
              <w:rPr>
                <w:rFonts w:asciiTheme="minorHAnsi" w:hAnsiTheme="minorHAnsi" w:cstheme="minorHAnsi"/>
                <w:sz w:val="16"/>
                <w:szCs w:val="16"/>
              </w:rPr>
            </w:pPr>
            <w:r>
              <w:rPr>
                <w:rFonts w:asciiTheme="minorHAnsi" w:eastAsiaTheme="minorEastAsia" w:hAnsiTheme="minorHAnsi" w:cstheme="minorHAnsi"/>
                <w:sz w:val="16"/>
                <w:szCs w:val="16"/>
              </w:rPr>
              <w:t>Asimismo,</w:t>
            </w:r>
            <w:r w:rsidR="00E015D0">
              <w:rPr>
                <w:rFonts w:asciiTheme="minorHAnsi" w:eastAsiaTheme="minorEastAsia" w:hAnsiTheme="minorHAnsi" w:cstheme="minorHAnsi"/>
                <w:sz w:val="16"/>
                <w:szCs w:val="16"/>
              </w:rPr>
              <w:t xml:space="preserve"> como parte de la interconexión con plataformas de aprendizaje,</w:t>
            </w:r>
            <w:r>
              <w:rPr>
                <w:rFonts w:asciiTheme="minorHAnsi" w:eastAsiaTheme="minorEastAsia" w:hAnsiTheme="minorHAnsi" w:cstheme="minorHAnsi"/>
                <w:sz w:val="16"/>
                <w:szCs w:val="16"/>
              </w:rPr>
              <w:t xml:space="preserve"> en coordinación con el </w:t>
            </w:r>
            <w:r w:rsidRPr="009274F8">
              <w:rPr>
                <w:rFonts w:asciiTheme="minorHAnsi" w:hAnsiTheme="minorHAnsi" w:cstheme="minorHAnsi"/>
                <w:sz w:val="16"/>
                <w:szCs w:val="16"/>
              </w:rPr>
              <w:t>Sustainable Coffee Program</w:t>
            </w:r>
            <w:r>
              <w:rPr>
                <w:rFonts w:asciiTheme="minorHAnsi" w:hAnsiTheme="minorHAnsi" w:cstheme="minorHAnsi"/>
                <w:sz w:val="16"/>
                <w:szCs w:val="16"/>
              </w:rPr>
              <w:t xml:space="preserve">, se participó en la sesión virtual </w:t>
            </w:r>
            <w:r w:rsidRPr="009274F8">
              <w:rPr>
                <w:rFonts w:asciiTheme="minorHAnsi" w:hAnsiTheme="minorHAnsi" w:cstheme="minorHAnsi"/>
                <w:sz w:val="16"/>
                <w:szCs w:val="16"/>
              </w:rPr>
              <w:t>"Landscapes Lab" del Sustainable Coffee Challenge, titulada "Estrategias para una Inversión Impactante en Paisajes Cafeteros</w:t>
            </w:r>
            <w:r w:rsidR="00E015D0" w:rsidRPr="009274F8">
              <w:rPr>
                <w:rFonts w:asciiTheme="minorHAnsi" w:hAnsiTheme="minorHAnsi" w:cstheme="minorHAnsi"/>
                <w:sz w:val="16"/>
                <w:szCs w:val="16"/>
              </w:rPr>
              <w:t xml:space="preserve"> </w:t>
            </w:r>
            <w:r w:rsidRPr="009274F8">
              <w:rPr>
                <w:rFonts w:asciiTheme="minorHAnsi" w:hAnsiTheme="minorHAnsi" w:cstheme="minorHAnsi"/>
                <w:sz w:val="16"/>
                <w:szCs w:val="16"/>
              </w:rPr>
              <w:t>"</w:t>
            </w:r>
            <w:r>
              <w:rPr>
                <w:rFonts w:asciiTheme="minorHAnsi" w:hAnsiTheme="minorHAnsi" w:cstheme="minorHAnsi"/>
                <w:sz w:val="16"/>
                <w:szCs w:val="16"/>
              </w:rPr>
              <w:t xml:space="preserve">, en la cual se </w:t>
            </w:r>
            <w:r w:rsidR="00E015D0">
              <w:rPr>
                <w:rFonts w:asciiTheme="minorHAnsi" w:hAnsiTheme="minorHAnsi" w:cstheme="minorHAnsi"/>
                <w:sz w:val="16"/>
                <w:szCs w:val="16"/>
              </w:rPr>
              <w:t>presentó la</w:t>
            </w:r>
            <w:r w:rsidR="00E015D0" w:rsidRPr="00E015D0">
              <w:rPr>
                <w:rFonts w:asciiTheme="minorHAnsi" w:hAnsiTheme="minorHAnsi" w:cstheme="minorHAnsi"/>
                <w:sz w:val="16"/>
                <w:szCs w:val="16"/>
              </w:rPr>
              <w:t xml:space="preserve"> experiencia del proyecto</w:t>
            </w:r>
            <w:r w:rsidR="00E015D0">
              <w:rPr>
                <w:rFonts w:asciiTheme="minorHAnsi" w:hAnsiTheme="minorHAnsi" w:cstheme="minorHAnsi"/>
                <w:sz w:val="16"/>
                <w:szCs w:val="16"/>
              </w:rPr>
              <w:t xml:space="preserve"> </w:t>
            </w:r>
            <w:r w:rsidR="00E015D0" w:rsidRPr="00E015D0">
              <w:rPr>
                <w:rFonts w:asciiTheme="minorHAnsi" w:hAnsiTheme="minorHAnsi" w:cstheme="minorHAnsi"/>
                <w:sz w:val="16"/>
                <w:szCs w:val="16"/>
              </w:rPr>
              <w:t>FOLUR en Perú aplicando el enfoque de gestión integrada del paisaje.</w:t>
            </w:r>
            <w:r w:rsidR="00E015D0">
              <w:rPr>
                <w:rFonts w:asciiTheme="minorHAnsi" w:hAnsiTheme="minorHAnsi" w:cstheme="minorHAnsi"/>
                <w:sz w:val="16"/>
                <w:szCs w:val="16"/>
              </w:rPr>
              <w:t xml:space="preserve"> Además, en este evento </w:t>
            </w:r>
            <w:r>
              <w:rPr>
                <w:rFonts w:asciiTheme="minorHAnsi" w:hAnsiTheme="minorHAnsi" w:cstheme="minorHAnsi"/>
                <w:sz w:val="16"/>
                <w:szCs w:val="16"/>
              </w:rPr>
              <w:t xml:space="preserve">se presentó la Ficha de coinversión para Perú, </w:t>
            </w:r>
            <w:r w:rsidR="00E015D0">
              <w:rPr>
                <w:rFonts w:asciiTheme="minorHAnsi" w:hAnsiTheme="minorHAnsi" w:cstheme="minorHAnsi"/>
                <w:sz w:val="16"/>
                <w:szCs w:val="16"/>
              </w:rPr>
              <w:t>elaborada</w:t>
            </w:r>
            <w:r>
              <w:rPr>
                <w:rFonts w:asciiTheme="minorHAnsi" w:hAnsiTheme="minorHAnsi" w:cstheme="minorHAnsi"/>
                <w:sz w:val="16"/>
                <w:szCs w:val="16"/>
              </w:rPr>
              <w:t xml:space="preserve"> de manera conjunta con el programa de C</w:t>
            </w:r>
            <w:r w:rsidR="00327B02">
              <w:rPr>
                <w:rFonts w:asciiTheme="minorHAnsi" w:hAnsiTheme="minorHAnsi" w:cstheme="minorHAnsi"/>
                <w:sz w:val="16"/>
                <w:szCs w:val="16"/>
              </w:rPr>
              <w:t xml:space="preserve">onservación </w:t>
            </w:r>
            <w:r>
              <w:rPr>
                <w:rFonts w:asciiTheme="minorHAnsi" w:hAnsiTheme="minorHAnsi" w:cstheme="minorHAnsi"/>
                <w:sz w:val="16"/>
                <w:szCs w:val="16"/>
              </w:rPr>
              <w:t>I</w:t>
            </w:r>
            <w:r w:rsidR="00327B02">
              <w:rPr>
                <w:rFonts w:asciiTheme="minorHAnsi" w:hAnsiTheme="minorHAnsi" w:cstheme="minorHAnsi"/>
                <w:sz w:val="16"/>
                <w:szCs w:val="16"/>
              </w:rPr>
              <w:t>nternacional</w:t>
            </w:r>
            <w:r>
              <w:rPr>
                <w:rFonts w:asciiTheme="minorHAnsi" w:hAnsiTheme="minorHAnsi" w:cstheme="minorHAnsi"/>
                <w:sz w:val="16"/>
                <w:szCs w:val="16"/>
              </w:rPr>
              <w:t xml:space="preserve">. </w:t>
            </w:r>
          </w:p>
        </w:tc>
        <w:tc>
          <w:tcPr>
            <w:tcW w:w="6520" w:type="dxa"/>
            <w:gridSpan w:val="6"/>
            <w:tcBorders>
              <w:bottom w:val="single" w:sz="4" w:space="0" w:color="auto"/>
            </w:tcBorders>
            <w:vAlign w:val="center"/>
          </w:tcPr>
          <w:p w14:paraId="4EB38B6D" w14:textId="77777777" w:rsidR="00327B02" w:rsidRDefault="00327B02" w:rsidP="00327B02">
            <w:pPr>
              <w:tabs>
                <w:tab w:val="left" w:pos="4680"/>
              </w:tabs>
              <w:rPr>
                <w:rFonts w:asciiTheme="minorHAnsi" w:hAnsiTheme="minorHAnsi" w:cstheme="minorHAnsi"/>
                <w:sz w:val="16"/>
                <w:szCs w:val="16"/>
              </w:rPr>
            </w:pPr>
          </w:p>
          <w:p w14:paraId="4B6AD1D6" w14:textId="7AFFC995" w:rsidR="003656FC" w:rsidRPr="00DE692F" w:rsidRDefault="003656FC" w:rsidP="00327B02">
            <w:pPr>
              <w:tabs>
                <w:tab w:val="left" w:pos="4680"/>
              </w:tabs>
              <w:rPr>
                <w:rFonts w:asciiTheme="minorHAnsi" w:hAnsiTheme="minorHAnsi" w:cstheme="minorHAnsi"/>
                <w:sz w:val="16"/>
                <w:szCs w:val="16"/>
              </w:rPr>
            </w:pPr>
          </w:p>
        </w:tc>
      </w:tr>
      <w:tr w:rsidR="003656FC" w:rsidRPr="00DE692F" w14:paraId="48B50E11" w14:textId="77777777" w:rsidTr="005B7DD9">
        <w:trPr>
          <w:trHeight w:val="1190"/>
        </w:trPr>
        <w:tc>
          <w:tcPr>
            <w:tcW w:w="1702" w:type="dxa"/>
            <w:tcBorders>
              <w:bottom w:val="single" w:sz="4" w:space="0" w:color="auto"/>
            </w:tcBorders>
            <w:shd w:val="clear" w:color="auto" w:fill="D0CECE" w:themeFill="background2" w:themeFillShade="E6"/>
            <w:vAlign w:val="center"/>
          </w:tcPr>
          <w:p w14:paraId="282E160B" w14:textId="041EDC9D"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4.1.2</w:t>
            </w:r>
          </w:p>
        </w:tc>
        <w:tc>
          <w:tcPr>
            <w:tcW w:w="2400" w:type="dxa"/>
            <w:tcBorders>
              <w:bottom w:val="single" w:sz="4" w:space="0" w:color="auto"/>
            </w:tcBorders>
            <w:shd w:val="clear" w:color="auto" w:fill="D0CECE" w:themeFill="background2" w:themeFillShade="E6"/>
            <w:vAlign w:val="center"/>
          </w:tcPr>
          <w:p w14:paraId="0B106C4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1017AAA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Linea de Base</w:t>
            </w:r>
          </w:p>
        </w:tc>
        <w:tc>
          <w:tcPr>
            <w:tcW w:w="992" w:type="dxa"/>
            <w:tcBorders>
              <w:bottom w:val="single" w:sz="4" w:space="0" w:color="auto"/>
            </w:tcBorders>
            <w:shd w:val="clear" w:color="auto" w:fill="D0CECE" w:themeFill="background2" w:themeFillShade="E6"/>
            <w:vAlign w:val="center"/>
          </w:tcPr>
          <w:p w14:paraId="76FB8D7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B6F915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7227483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680A33C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6A7061E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7469DA1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1BE0EDD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1F11153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D67BD1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3FCDFA97"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5C13479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6AAEA321"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28B05706" w14:textId="77777777" w:rsidTr="005B7DD9">
        <w:trPr>
          <w:trHeight w:val="688"/>
        </w:trPr>
        <w:tc>
          <w:tcPr>
            <w:tcW w:w="1702" w:type="dxa"/>
            <w:vAlign w:val="center"/>
          </w:tcPr>
          <w:p w14:paraId="64E97D49" w14:textId="629F26FA"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Mejores prácticas, lecciones aprendidas, estudios de caso, </w:t>
            </w:r>
            <w:r w:rsidRPr="00DE692F">
              <w:rPr>
                <w:rFonts w:asciiTheme="minorHAnsi" w:eastAsiaTheme="minorEastAsia" w:hAnsiTheme="minorHAnsi" w:cstheme="minorHAnsi"/>
                <w:sz w:val="16"/>
                <w:szCs w:val="16"/>
              </w:rPr>
              <w:lastRenderedPageBreak/>
              <w:t>conocimientos y el progreso del proyecto (haciendo hincapié en las perspectivas de género e interculturales) se documentan y comparten en eventos nacionales e internacionales de intercambio de lecciones</w:t>
            </w:r>
          </w:p>
        </w:tc>
        <w:tc>
          <w:tcPr>
            <w:tcW w:w="2400" w:type="dxa"/>
            <w:vAlign w:val="center"/>
          </w:tcPr>
          <w:p w14:paraId="6C7854ED" w14:textId="02F8EFD0"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w:t>
            </w:r>
          </w:p>
        </w:tc>
        <w:tc>
          <w:tcPr>
            <w:tcW w:w="860" w:type="dxa"/>
            <w:vAlign w:val="center"/>
          </w:tcPr>
          <w:p w14:paraId="5F5EE827" w14:textId="38E2930E"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56FD1B46" w14:textId="7E051F78" w:rsidR="003656FC" w:rsidRPr="00DE692F" w:rsidRDefault="00DC1827"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470C36FA" w14:textId="68E791D1" w:rsidR="003656FC" w:rsidRPr="00DE692F" w:rsidRDefault="00DC1827"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3AA5F9E6" w14:textId="6C04BB0C"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0C70C7AC" w14:textId="4C166CDA"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5DA8C02A" w14:textId="1C8C7DDB" w:rsidR="003656FC"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2DE0EB51" w14:textId="2C0A8F50" w:rsidR="003656FC" w:rsidRPr="00DE692F" w:rsidRDefault="00D90797"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3</w:t>
            </w:r>
            <w:r w:rsidR="005058DD">
              <w:rPr>
                <w:rFonts w:asciiTheme="minorHAnsi" w:eastAsiaTheme="minorEastAsia" w:hAnsiTheme="minorHAnsi" w:cstheme="minorHAnsi"/>
                <w:sz w:val="16"/>
                <w:szCs w:val="16"/>
              </w:rPr>
              <w:t>0</w:t>
            </w:r>
            <w:r w:rsidR="005058DD">
              <w:rPr>
                <w:rStyle w:val="Refdenotaalpie"/>
                <w:rFonts w:eastAsiaTheme="minorEastAsia" w:cstheme="minorHAnsi"/>
                <w:szCs w:val="16"/>
              </w:rPr>
              <w:footnoteReference w:id="31"/>
            </w:r>
          </w:p>
        </w:tc>
      </w:tr>
      <w:tr w:rsidR="003656FC" w:rsidRPr="00DE692F" w14:paraId="7FE63DEA" w14:textId="77777777" w:rsidTr="005B7DD9">
        <w:trPr>
          <w:trHeight w:val="176"/>
        </w:trPr>
        <w:tc>
          <w:tcPr>
            <w:tcW w:w="11482" w:type="dxa"/>
            <w:gridSpan w:val="9"/>
            <w:shd w:val="clear" w:color="auto" w:fill="D0CECE" w:themeFill="background2" w:themeFillShade="E6"/>
            <w:vAlign w:val="center"/>
          </w:tcPr>
          <w:p w14:paraId="1007376E"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3AAAC440" w14:textId="77777777" w:rsidTr="005B7DD9">
        <w:trPr>
          <w:trHeight w:val="294"/>
        </w:trPr>
        <w:tc>
          <w:tcPr>
            <w:tcW w:w="1702" w:type="dxa"/>
            <w:vAlign w:val="center"/>
          </w:tcPr>
          <w:p w14:paraId="3EE23ABC" w14:textId="4722AF7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4.1.2.1</w:t>
            </w:r>
          </w:p>
        </w:tc>
        <w:tc>
          <w:tcPr>
            <w:tcW w:w="9780" w:type="dxa"/>
            <w:gridSpan w:val="8"/>
            <w:vAlign w:val="center"/>
          </w:tcPr>
          <w:p w14:paraId="07F41A8A" w14:textId="5382EB53"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Identificación y mapeo de eventos de intercambio de lecciones nacionales o internacionales donde el proyecto puede participar (incluidos los eventos internacionales de FOLUR)</w:t>
            </w:r>
          </w:p>
        </w:tc>
      </w:tr>
      <w:tr w:rsidR="003656FC" w:rsidRPr="00DE692F" w14:paraId="064D0415" w14:textId="77777777" w:rsidTr="005B7DD9">
        <w:trPr>
          <w:trHeight w:val="256"/>
        </w:trPr>
        <w:tc>
          <w:tcPr>
            <w:tcW w:w="1702" w:type="dxa"/>
            <w:vAlign w:val="center"/>
          </w:tcPr>
          <w:p w14:paraId="443793DB" w14:textId="77756F54"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4.1.2.2</w:t>
            </w:r>
          </w:p>
        </w:tc>
        <w:tc>
          <w:tcPr>
            <w:tcW w:w="9780" w:type="dxa"/>
            <w:gridSpan w:val="8"/>
            <w:vAlign w:val="center"/>
          </w:tcPr>
          <w:p w14:paraId="233012C6" w14:textId="38E89F87"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Gestión de la participación de actores clave del proyecto en los eventos de intercambio de lecciones nacionales o internacionales priorizados, promoviendo la participación de mujeres, asegurando el enfoque de género e interculturalidad</w:t>
            </w:r>
          </w:p>
        </w:tc>
      </w:tr>
      <w:tr w:rsidR="003656FC" w:rsidRPr="00DE692F" w14:paraId="62DE92D0" w14:textId="77777777" w:rsidTr="005B7DD9">
        <w:trPr>
          <w:trHeight w:val="232"/>
        </w:trPr>
        <w:tc>
          <w:tcPr>
            <w:tcW w:w="1702" w:type="dxa"/>
            <w:vAlign w:val="center"/>
          </w:tcPr>
          <w:p w14:paraId="53A25E6A" w14:textId="0D15FE15"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4.1.2.3</w:t>
            </w:r>
          </w:p>
        </w:tc>
        <w:tc>
          <w:tcPr>
            <w:tcW w:w="9780" w:type="dxa"/>
            <w:gridSpan w:val="8"/>
            <w:vAlign w:val="center"/>
          </w:tcPr>
          <w:p w14:paraId="170CD89C" w14:textId="32BE2BEB"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Diagramación y/o maquetación de recursos educativos o herramientas que incorporen enfoque de género e interculturalidad, elaborados por los componentes del Proyecto como parte de sus procesos de asistencia técnica y capacitación, así como la gestión de la publicación de </w:t>
            </w:r>
            <w:r w:rsidR="001E0D46" w:rsidRPr="00DE692F">
              <w:rPr>
                <w:rFonts w:asciiTheme="minorHAnsi" w:eastAsiaTheme="minorEastAsia" w:hAnsiTheme="minorHAnsi" w:cstheme="minorHAnsi"/>
                <w:sz w:val="16"/>
                <w:szCs w:val="16"/>
              </w:rPr>
              <w:t>estos</w:t>
            </w:r>
            <w:r w:rsidR="001E0D46">
              <w:rPr>
                <w:rFonts w:asciiTheme="minorHAnsi" w:eastAsiaTheme="minorEastAsia" w:hAnsiTheme="minorHAnsi" w:cstheme="minorHAnsi"/>
                <w:sz w:val="16"/>
                <w:szCs w:val="16"/>
              </w:rPr>
              <w:t>.</w:t>
            </w:r>
          </w:p>
        </w:tc>
      </w:tr>
      <w:tr w:rsidR="003656FC" w:rsidRPr="00DE692F" w14:paraId="12DD8A64" w14:textId="77777777" w:rsidTr="005B7DD9">
        <w:trPr>
          <w:trHeight w:val="688"/>
        </w:trPr>
        <w:tc>
          <w:tcPr>
            <w:tcW w:w="4962" w:type="dxa"/>
            <w:gridSpan w:val="3"/>
            <w:tcBorders>
              <w:bottom w:val="single" w:sz="4" w:space="0" w:color="auto"/>
            </w:tcBorders>
            <w:vAlign w:val="center"/>
          </w:tcPr>
          <w:p w14:paraId="37E6784F" w14:textId="2D144611" w:rsidR="003656FC" w:rsidRDefault="003656FC" w:rsidP="003656FC">
            <w:pPr>
              <w:tabs>
                <w:tab w:val="left" w:pos="4680"/>
              </w:tabs>
              <w:rPr>
                <w:rFonts w:asciiTheme="minorHAnsi" w:hAnsiTheme="minorHAnsi" w:cstheme="minorHAnsi"/>
                <w:sz w:val="16"/>
                <w:szCs w:val="16"/>
              </w:rPr>
            </w:pPr>
          </w:p>
          <w:p w14:paraId="0D32E5D2" w14:textId="77777777" w:rsidR="00327B02" w:rsidRDefault="002D76B4" w:rsidP="003656FC">
            <w:pPr>
              <w:tabs>
                <w:tab w:val="left" w:pos="4680"/>
              </w:tabs>
              <w:rPr>
                <w:rFonts w:asciiTheme="minorHAnsi" w:hAnsiTheme="minorHAnsi" w:cstheme="minorHAnsi"/>
                <w:sz w:val="16"/>
                <w:szCs w:val="16"/>
              </w:rPr>
            </w:pPr>
            <w:r>
              <w:rPr>
                <w:rFonts w:asciiTheme="minorHAnsi" w:hAnsiTheme="minorHAnsi" w:cstheme="minorHAnsi"/>
                <w:sz w:val="16"/>
                <w:szCs w:val="16"/>
              </w:rPr>
              <w:t>Se llevaron a cabo 2 eventos de intercambios de experiencias, estos eventos</w:t>
            </w:r>
            <w:r w:rsidR="007F4C3D" w:rsidRPr="00DE692F">
              <w:rPr>
                <w:rFonts w:asciiTheme="minorHAnsi" w:hAnsiTheme="minorHAnsi" w:cstheme="minorHAnsi"/>
                <w:sz w:val="16"/>
                <w:szCs w:val="16"/>
              </w:rPr>
              <w:t xml:space="preserve"> generan espacios de visibilización y diálogo donde el proyecto documenta y comparte sus avances. </w:t>
            </w:r>
          </w:p>
          <w:p w14:paraId="77DCC626" w14:textId="4328BEF7" w:rsidR="00FC61EA" w:rsidRPr="00327B02" w:rsidRDefault="007F4C3D" w:rsidP="00327B02">
            <w:pPr>
              <w:pStyle w:val="Prrafodelista"/>
              <w:numPr>
                <w:ilvl w:val="0"/>
                <w:numId w:val="49"/>
              </w:numPr>
              <w:tabs>
                <w:tab w:val="left" w:pos="4680"/>
              </w:tabs>
              <w:rPr>
                <w:rFonts w:asciiTheme="minorHAnsi" w:hAnsiTheme="minorHAnsi" w:cstheme="minorHAnsi"/>
                <w:sz w:val="16"/>
                <w:szCs w:val="16"/>
              </w:rPr>
            </w:pPr>
            <w:r w:rsidRPr="00327B02">
              <w:rPr>
                <w:rFonts w:asciiTheme="minorHAnsi" w:hAnsiTheme="minorHAnsi" w:cstheme="minorHAnsi"/>
                <w:sz w:val="16"/>
                <w:szCs w:val="16"/>
              </w:rPr>
              <w:t>El Primer Taller Regional FOLUR (abril 2025) reunió equipos técnicos de seis proyectos FOLUR en la región y representantes de agencias implementadoras, en el que la delegación peruana presentó el estado de avance nacional</w:t>
            </w:r>
            <w:r w:rsidR="00FC61EA" w:rsidRPr="00327B02">
              <w:rPr>
                <w:rFonts w:asciiTheme="minorHAnsi" w:hAnsiTheme="minorHAnsi" w:cstheme="minorHAnsi"/>
                <w:sz w:val="16"/>
                <w:szCs w:val="16"/>
              </w:rPr>
              <w:t xml:space="preserve"> y pudo intercambiar experiencias con los otros proyectos, </w:t>
            </w:r>
            <w:r w:rsidR="002D76B4" w:rsidRPr="00327B02">
              <w:rPr>
                <w:rFonts w:asciiTheme="minorHAnsi" w:hAnsiTheme="minorHAnsi" w:cstheme="minorHAnsi"/>
                <w:sz w:val="16"/>
                <w:szCs w:val="16"/>
              </w:rPr>
              <w:t>donde</w:t>
            </w:r>
            <w:r w:rsidR="00FC61EA" w:rsidRPr="00327B02">
              <w:rPr>
                <w:rFonts w:asciiTheme="minorHAnsi" w:hAnsiTheme="minorHAnsi" w:cstheme="minorHAnsi"/>
                <w:sz w:val="16"/>
                <w:szCs w:val="16"/>
              </w:rPr>
              <w:t xml:space="preserve"> el enfoque en commodities</w:t>
            </w:r>
            <w:r w:rsidR="002D76B4" w:rsidRPr="00327B02">
              <w:rPr>
                <w:rFonts w:asciiTheme="minorHAnsi" w:hAnsiTheme="minorHAnsi" w:cstheme="minorHAnsi"/>
                <w:sz w:val="16"/>
                <w:szCs w:val="16"/>
              </w:rPr>
              <w:t>, las experiencias similares con café (México), de género y de restauración fueron particularmente valiosos.</w:t>
            </w:r>
            <w:r w:rsidR="002B3339" w:rsidRPr="00327B02">
              <w:rPr>
                <w:rFonts w:asciiTheme="minorHAnsi" w:hAnsiTheme="minorHAnsi" w:cstheme="minorHAnsi"/>
                <w:sz w:val="16"/>
                <w:szCs w:val="16"/>
              </w:rPr>
              <w:t xml:space="preserve"> De ese modo, este evento sirvió para posicionar la experiencia nacional en espacios de articulación regional y fomentar un aprendizaje colectivo que promueve el diálogo técnico entre pares y la construcción de una comunidad regional de práctica FOLUR.</w:t>
            </w:r>
          </w:p>
          <w:p w14:paraId="4E6C003A" w14:textId="34FE7C27" w:rsidR="00FC61EA" w:rsidRPr="00327B02" w:rsidRDefault="007F4C3D" w:rsidP="00327B02">
            <w:pPr>
              <w:pStyle w:val="Prrafodelista"/>
              <w:numPr>
                <w:ilvl w:val="0"/>
                <w:numId w:val="49"/>
              </w:numPr>
              <w:tabs>
                <w:tab w:val="left" w:pos="4680"/>
              </w:tabs>
              <w:rPr>
                <w:rFonts w:asciiTheme="minorHAnsi" w:hAnsiTheme="minorHAnsi" w:cstheme="minorHAnsi"/>
                <w:sz w:val="16"/>
                <w:szCs w:val="16"/>
              </w:rPr>
            </w:pPr>
            <w:r w:rsidRPr="00327B02">
              <w:rPr>
                <w:rFonts w:asciiTheme="minorHAnsi" w:hAnsiTheme="minorHAnsi" w:cstheme="minorHAnsi"/>
                <w:sz w:val="16"/>
                <w:szCs w:val="16"/>
              </w:rPr>
              <w:t>La Plenaria de Trazabilidad (junio 2025) convocó a más de 150 participantes multisectoriales y produjo una relatoría técnica del evento</w:t>
            </w:r>
            <w:r w:rsidR="00FC61EA" w:rsidRPr="00327B02">
              <w:rPr>
                <w:rFonts w:asciiTheme="minorHAnsi" w:hAnsiTheme="minorHAnsi" w:cstheme="minorHAnsi"/>
                <w:sz w:val="16"/>
                <w:szCs w:val="16"/>
              </w:rPr>
              <w:t>. Este evento fue diseñado como un espacio de diálogo intersectorial orientado a compartir aprendizajes, desafíos y oportunidades en torno a la trazabilidad en las cadenas de café y cacao. Su formato combinó presentaciones breves de experiencias concretas con una ronda de comentarios entre panelistas, facilitando la identificación de sinergias y aprendizajes comunes, esto se complementó con los aportes del público, entre los que figuraban representantes de las mesas técnicas regionales de café y cacao, promoviendo una reflexión colectiva y multiactor sobre las soluciones tecnológicas para trazabilidad.</w:t>
            </w:r>
          </w:p>
          <w:p w14:paraId="3C33A8CB" w14:textId="2469C85C" w:rsidR="002D76B4" w:rsidRPr="002D76B4" w:rsidRDefault="00FC61EA" w:rsidP="002D76B4">
            <w:pPr>
              <w:tabs>
                <w:tab w:val="left" w:pos="4680"/>
              </w:tabs>
              <w:rPr>
                <w:rFonts w:asciiTheme="minorHAnsi" w:hAnsiTheme="minorHAnsi" w:cstheme="minorHAnsi"/>
                <w:sz w:val="16"/>
                <w:szCs w:val="16"/>
              </w:rPr>
            </w:pPr>
            <w:r>
              <w:rPr>
                <w:rFonts w:asciiTheme="minorHAnsi" w:hAnsiTheme="minorHAnsi" w:cstheme="minorHAnsi"/>
                <w:sz w:val="16"/>
                <w:szCs w:val="16"/>
              </w:rPr>
              <w:t>A</w:t>
            </w:r>
            <w:r w:rsidR="002D76B4">
              <w:rPr>
                <w:rFonts w:asciiTheme="minorHAnsi" w:hAnsiTheme="minorHAnsi" w:cstheme="minorHAnsi"/>
                <w:sz w:val="16"/>
                <w:szCs w:val="16"/>
              </w:rPr>
              <w:t>simismo</w:t>
            </w:r>
            <w:r>
              <w:rPr>
                <w:rFonts w:asciiTheme="minorHAnsi" w:hAnsiTheme="minorHAnsi" w:cstheme="minorHAnsi"/>
                <w:sz w:val="16"/>
                <w:szCs w:val="16"/>
              </w:rPr>
              <w:t xml:space="preserve">, se </w:t>
            </w:r>
            <w:r w:rsidR="002D76B4">
              <w:rPr>
                <w:rFonts w:asciiTheme="minorHAnsi" w:hAnsiTheme="minorHAnsi" w:cstheme="minorHAnsi"/>
                <w:sz w:val="16"/>
                <w:szCs w:val="16"/>
              </w:rPr>
              <w:t>apoyaron otros espacios para promover el intercambio de experiencias como c</w:t>
            </w:r>
            <w:r>
              <w:rPr>
                <w:rFonts w:asciiTheme="minorHAnsi" w:hAnsiTheme="minorHAnsi" w:cstheme="minorHAnsi"/>
                <w:sz w:val="16"/>
                <w:szCs w:val="16"/>
              </w:rPr>
              <w:t>omo el e</w:t>
            </w:r>
            <w:r w:rsidR="007F4C3D" w:rsidRPr="00DE692F">
              <w:rPr>
                <w:rFonts w:asciiTheme="minorHAnsi" w:hAnsiTheme="minorHAnsi" w:cstheme="minorHAnsi"/>
                <w:sz w:val="16"/>
                <w:szCs w:val="16"/>
              </w:rPr>
              <w:t>ncuentro CCUSAF (diciembre 2025)</w:t>
            </w:r>
            <w:r>
              <w:rPr>
                <w:rFonts w:asciiTheme="minorHAnsi" w:hAnsiTheme="minorHAnsi" w:cstheme="minorHAnsi"/>
                <w:sz w:val="16"/>
                <w:szCs w:val="16"/>
              </w:rPr>
              <w:t xml:space="preserve">, donde se apoyó al SERFOR a </w:t>
            </w:r>
            <w:r w:rsidR="007F4C3D" w:rsidRPr="00DE692F">
              <w:rPr>
                <w:rFonts w:asciiTheme="minorHAnsi" w:hAnsiTheme="minorHAnsi" w:cstheme="minorHAnsi"/>
                <w:sz w:val="16"/>
                <w:szCs w:val="16"/>
              </w:rPr>
              <w:t>difundi</w:t>
            </w:r>
            <w:r>
              <w:rPr>
                <w:rFonts w:asciiTheme="minorHAnsi" w:hAnsiTheme="minorHAnsi" w:cstheme="minorHAnsi"/>
                <w:sz w:val="16"/>
                <w:szCs w:val="16"/>
              </w:rPr>
              <w:t>r</w:t>
            </w:r>
            <w:r w:rsidR="007F4C3D" w:rsidRPr="00DE692F">
              <w:rPr>
                <w:rFonts w:asciiTheme="minorHAnsi" w:hAnsiTheme="minorHAnsi" w:cstheme="minorHAnsi"/>
                <w:sz w:val="16"/>
                <w:szCs w:val="16"/>
              </w:rPr>
              <w:t xml:space="preserve"> los avances de la estrategia CCUSAF y promovió </w:t>
            </w:r>
            <w:r>
              <w:rPr>
                <w:rFonts w:asciiTheme="minorHAnsi" w:hAnsiTheme="minorHAnsi" w:cstheme="minorHAnsi"/>
                <w:sz w:val="16"/>
                <w:szCs w:val="16"/>
              </w:rPr>
              <w:t xml:space="preserve">el </w:t>
            </w:r>
            <w:r w:rsidR="007F4C3D" w:rsidRPr="00DE692F">
              <w:rPr>
                <w:rFonts w:asciiTheme="minorHAnsi" w:hAnsiTheme="minorHAnsi" w:cstheme="minorHAnsi"/>
                <w:sz w:val="16"/>
                <w:szCs w:val="16"/>
              </w:rPr>
              <w:t>intercambio de experiencias entre actores clave</w:t>
            </w:r>
            <w:r w:rsidR="002D76B4">
              <w:rPr>
                <w:rFonts w:asciiTheme="minorHAnsi" w:hAnsiTheme="minorHAnsi" w:cstheme="minorHAnsi"/>
                <w:sz w:val="16"/>
                <w:szCs w:val="16"/>
              </w:rPr>
              <w:t>, este evento tenía como objetivo d</w:t>
            </w:r>
            <w:r w:rsidR="002D76B4" w:rsidRPr="002D76B4">
              <w:rPr>
                <w:rFonts w:asciiTheme="minorHAnsi" w:hAnsiTheme="minorHAnsi" w:cstheme="minorHAnsi"/>
                <w:sz w:val="16"/>
                <w:szCs w:val="16"/>
              </w:rPr>
              <w:t>ar a conocer los resultados y avances de la estrategia CCUSAF</w:t>
            </w:r>
            <w:r w:rsidR="002D76B4">
              <w:rPr>
                <w:rFonts w:asciiTheme="minorHAnsi" w:hAnsiTheme="minorHAnsi" w:cstheme="minorHAnsi"/>
                <w:sz w:val="16"/>
                <w:szCs w:val="16"/>
              </w:rPr>
              <w:t xml:space="preserve"> </w:t>
            </w:r>
            <w:r w:rsidR="002D76B4" w:rsidRPr="002D76B4">
              <w:rPr>
                <w:rFonts w:asciiTheme="minorHAnsi" w:hAnsiTheme="minorHAnsi" w:cstheme="minorHAnsi"/>
                <w:sz w:val="16"/>
                <w:szCs w:val="16"/>
              </w:rPr>
              <w:t>como herramienta clave para la agricultura familiar y la gestión</w:t>
            </w:r>
            <w:r w:rsidR="002D76B4">
              <w:rPr>
                <w:rFonts w:asciiTheme="minorHAnsi" w:hAnsiTheme="minorHAnsi" w:cstheme="minorHAnsi"/>
                <w:sz w:val="16"/>
                <w:szCs w:val="16"/>
              </w:rPr>
              <w:t xml:space="preserve"> </w:t>
            </w:r>
            <w:r w:rsidR="002D76B4" w:rsidRPr="002D76B4">
              <w:rPr>
                <w:rFonts w:asciiTheme="minorHAnsi" w:hAnsiTheme="minorHAnsi" w:cstheme="minorHAnsi"/>
                <w:sz w:val="16"/>
                <w:szCs w:val="16"/>
              </w:rPr>
              <w:t>sostenible de los paisajes amazónicos.</w:t>
            </w:r>
            <w:r w:rsidR="002D76B4">
              <w:rPr>
                <w:rFonts w:asciiTheme="minorHAnsi" w:hAnsiTheme="minorHAnsi" w:cstheme="minorHAnsi"/>
                <w:sz w:val="16"/>
                <w:szCs w:val="16"/>
              </w:rPr>
              <w:t xml:space="preserve"> Así como f</w:t>
            </w:r>
            <w:r w:rsidR="002D76B4" w:rsidRPr="002D76B4">
              <w:rPr>
                <w:rFonts w:asciiTheme="minorHAnsi" w:hAnsiTheme="minorHAnsi" w:cstheme="minorHAnsi"/>
                <w:sz w:val="16"/>
                <w:szCs w:val="16"/>
              </w:rPr>
              <w:t>ortalecer sistemas productivos sostenibles y contribuir a la</w:t>
            </w:r>
            <w:r w:rsidR="002D76B4">
              <w:rPr>
                <w:rFonts w:asciiTheme="minorHAnsi" w:hAnsiTheme="minorHAnsi" w:cstheme="minorHAnsi"/>
                <w:sz w:val="16"/>
                <w:szCs w:val="16"/>
              </w:rPr>
              <w:t xml:space="preserve"> </w:t>
            </w:r>
            <w:r w:rsidR="002D76B4" w:rsidRPr="002D76B4">
              <w:rPr>
                <w:rFonts w:asciiTheme="minorHAnsi" w:hAnsiTheme="minorHAnsi" w:cstheme="minorHAnsi"/>
                <w:sz w:val="16"/>
                <w:szCs w:val="16"/>
              </w:rPr>
              <w:t>reducción de la deforestación</w:t>
            </w:r>
            <w:r w:rsidR="002D76B4">
              <w:rPr>
                <w:rFonts w:asciiTheme="minorHAnsi" w:hAnsiTheme="minorHAnsi" w:cstheme="minorHAnsi"/>
                <w:sz w:val="16"/>
                <w:szCs w:val="16"/>
              </w:rPr>
              <w:t xml:space="preserve"> y p</w:t>
            </w:r>
            <w:r w:rsidR="002D76B4" w:rsidRPr="002D76B4">
              <w:rPr>
                <w:rFonts w:asciiTheme="minorHAnsi" w:hAnsiTheme="minorHAnsi" w:cstheme="minorHAnsi"/>
                <w:sz w:val="16"/>
                <w:szCs w:val="16"/>
              </w:rPr>
              <w:t xml:space="preserve">romover el diálogo multiactor sobre el rol de los </w:t>
            </w:r>
            <w:r w:rsidR="002D76B4" w:rsidRPr="002D76B4">
              <w:rPr>
                <w:rFonts w:asciiTheme="minorHAnsi" w:hAnsiTheme="minorHAnsi" w:cstheme="minorHAnsi"/>
                <w:sz w:val="16"/>
                <w:szCs w:val="16"/>
              </w:rPr>
              <w:lastRenderedPageBreak/>
              <w:t>sistemas</w:t>
            </w:r>
            <w:r w:rsidR="002D76B4">
              <w:rPr>
                <w:rFonts w:asciiTheme="minorHAnsi" w:hAnsiTheme="minorHAnsi" w:cstheme="minorHAnsi"/>
                <w:sz w:val="16"/>
                <w:szCs w:val="16"/>
              </w:rPr>
              <w:t xml:space="preserve"> </w:t>
            </w:r>
            <w:r w:rsidR="002D76B4" w:rsidRPr="002D76B4">
              <w:rPr>
                <w:rFonts w:asciiTheme="minorHAnsi" w:hAnsiTheme="minorHAnsi" w:cstheme="minorHAnsi"/>
                <w:sz w:val="16"/>
                <w:szCs w:val="16"/>
              </w:rPr>
              <w:t>agroforestales en la sostenibilidad ambiental y productiva del país.</w:t>
            </w:r>
          </w:p>
          <w:p w14:paraId="0FB333F8" w14:textId="2D45CDB6" w:rsidR="004B62A4" w:rsidRPr="00DE692F" w:rsidRDefault="002D76B4" w:rsidP="003656FC">
            <w:pPr>
              <w:tabs>
                <w:tab w:val="left" w:pos="4680"/>
              </w:tabs>
              <w:rPr>
                <w:rFonts w:asciiTheme="minorHAnsi" w:hAnsiTheme="minorHAnsi" w:cstheme="minorHAnsi"/>
                <w:sz w:val="16"/>
                <w:szCs w:val="16"/>
              </w:rPr>
            </w:pPr>
            <w:r>
              <w:rPr>
                <w:rFonts w:asciiTheme="minorHAnsi" w:hAnsiTheme="minorHAnsi" w:cstheme="minorHAnsi"/>
                <w:sz w:val="16"/>
                <w:szCs w:val="16"/>
              </w:rPr>
              <w:t xml:space="preserve">Igualmente, en alianza con APPCACAO se llevó a cabo el </w:t>
            </w:r>
            <w:r w:rsidRPr="002D76B4">
              <w:rPr>
                <w:rFonts w:asciiTheme="minorHAnsi" w:hAnsiTheme="minorHAnsi" w:cstheme="minorHAnsi"/>
                <w:sz w:val="16"/>
                <w:szCs w:val="16"/>
              </w:rPr>
              <w:t>Intercambio Nacional de Experiencias</w:t>
            </w:r>
            <w:r>
              <w:rPr>
                <w:rFonts w:asciiTheme="minorHAnsi" w:hAnsiTheme="minorHAnsi" w:cstheme="minorHAnsi"/>
                <w:sz w:val="16"/>
                <w:szCs w:val="16"/>
              </w:rPr>
              <w:t xml:space="preserve">: </w:t>
            </w:r>
            <w:r w:rsidR="00B3285C" w:rsidRPr="00B3285C">
              <w:rPr>
                <w:rFonts w:asciiTheme="minorHAnsi" w:hAnsiTheme="minorHAnsi" w:cstheme="minorHAnsi"/>
                <w:sz w:val="16"/>
                <w:szCs w:val="16"/>
              </w:rPr>
              <w:t xml:space="preserve">Raíces </w:t>
            </w:r>
            <w:r w:rsidR="00B3285C">
              <w:rPr>
                <w:rFonts w:asciiTheme="minorHAnsi" w:hAnsiTheme="minorHAnsi" w:cstheme="minorHAnsi"/>
                <w:sz w:val="16"/>
                <w:szCs w:val="16"/>
              </w:rPr>
              <w:t>d</w:t>
            </w:r>
            <w:r w:rsidR="00B3285C" w:rsidRPr="00B3285C">
              <w:rPr>
                <w:rFonts w:asciiTheme="minorHAnsi" w:hAnsiTheme="minorHAnsi" w:cstheme="minorHAnsi"/>
                <w:sz w:val="16"/>
                <w:szCs w:val="16"/>
              </w:rPr>
              <w:t xml:space="preserve">e Liderazgo </w:t>
            </w:r>
            <w:r w:rsidR="00B3285C">
              <w:rPr>
                <w:rFonts w:asciiTheme="minorHAnsi" w:hAnsiTheme="minorHAnsi" w:cstheme="minorHAnsi"/>
                <w:sz w:val="16"/>
                <w:szCs w:val="16"/>
              </w:rPr>
              <w:t>q</w:t>
            </w:r>
            <w:r w:rsidR="00B3285C" w:rsidRPr="00B3285C">
              <w:rPr>
                <w:rFonts w:asciiTheme="minorHAnsi" w:hAnsiTheme="minorHAnsi" w:cstheme="minorHAnsi"/>
                <w:sz w:val="16"/>
                <w:szCs w:val="16"/>
              </w:rPr>
              <w:t xml:space="preserve">ue Transforman </w:t>
            </w:r>
            <w:r w:rsidR="00B3285C">
              <w:rPr>
                <w:rFonts w:asciiTheme="minorHAnsi" w:hAnsiTheme="minorHAnsi" w:cstheme="minorHAnsi"/>
                <w:sz w:val="16"/>
                <w:szCs w:val="16"/>
              </w:rPr>
              <w:t>e</w:t>
            </w:r>
            <w:r w:rsidR="00B3285C" w:rsidRPr="00B3285C">
              <w:rPr>
                <w:rFonts w:asciiTheme="minorHAnsi" w:hAnsiTheme="minorHAnsi" w:cstheme="minorHAnsi"/>
                <w:sz w:val="16"/>
                <w:szCs w:val="16"/>
              </w:rPr>
              <w:t xml:space="preserve">l Territorio: Mujeres Cacaoteras </w:t>
            </w:r>
            <w:r w:rsidR="00B3285C">
              <w:rPr>
                <w:rFonts w:asciiTheme="minorHAnsi" w:hAnsiTheme="minorHAnsi" w:cstheme="minorHAnsi"/>
                <w:sz w:val="16"/>
                <w:szCs w:val="16"/>
              </w:rPr>
              <w:t>p</w:t>
            </w:r>
            <w:r w:rsidR="00B3285C" w:rsidRPr="00B3285C">
              <w:rPr>
                <w:rFonts w:asciiTheme="minorHAnsi" w:hAnsiTheme="minorHAnsi" w:cstheme="minorHAnsi"/>
                <w:sz w:val="16"/>
                <w:szCs w:val="16"/>
              </w:rPr>
              <w:t xml:space="preserve">or </w:t>
            </w:r>
            <w:r w:rsidR="00B3285C">
              <w:rPr>
                <w:rFonts w:asciiTheme="minorHAnsi" w:hAnsiTheme="minorHAnsi" w:cstheme="minorHAnsi"/>
                <w:sz w:val="16"/>
                <w:szCs w:val="16"/>
              </w:rPr>
              <w:t>u</w:t>
            </w:r>
            <w:r w:rsidR="00B3285C" w:rsidRPr="00B3285C">
              <w:rPr>
                <w:rFonts w:asciiTheme="minorHAnsi" w:hAnsiTheme="minorHAnsi" w:cstheme="minorHAnsi"/>
                <w:sz w:val="16"/>
                <w:szCs w:val="16"/>
              </w:rPr>
              <w:t xml:space="preserve">n Futuro Sostenible </w:t>
            </w:r>
            <w:r w:rsidR="00B3285C">
              <w:rPr>
                <w:rFonts w:asciiTheme="minorHAnsi" w:hAnsiTheme="minorHAnsi" w:cstheme="minorHAnsi"/>
                <w:sz w:val="16"/>
                <w:szCs w:val="16"/>
              </w:rPr>
              <w:t>y</w:t>
            </w:r>
            <w:r w:rsidR="00B3285C" w:rsidRPr="00B3285C">
              <w:rPr>
                <w:rFonts w:asciiTheme="minorHAnsi" w:hAnsiTheme="minorHAnsi" w:cstheme="minorHAnsi"/>
                <w:sz w:val="16"/>
                <w:szCs w:val="16"/>
              </w:rPr>
              <w:t xml:space="preserve"> Libre </w:t>
            </w:r>
            <w:r w:rsidR="00B3285C">
              <w:rPr>
                <w:rFonts w:asciiTheme="minorHAnsi" w:hAnsiTheme="minorHAnsi" w:cstheme="minorHAnsi"/>
                <w:sz w:val="16"/>
                <w:szCs w:val="16"/>
              </w:rPr>
              <w:t>d</w:t>
            </w:r>
            <w:r w:rsidR="00B3285C" w:rsidRPr="00B3285C">
              <w:rPr>
                <w:rFonts w:asciiTheme="minorHAnsi" w:hAnsiTheme="minorHAnsi" w:cstheme="minorHAnsi"/>
                <w:sz w:val="16"/>
                <w:szCs w:val="16"/>
              </w:rPr>
              <w:t>e Deforestación</w:t>
            </w:r>
            <w:r>
              <w:rPr>
                <w:rFonts w:asciiTheme="minorHAnsi" w:hAnsiTheme="minorHAnsi" w:cstheme="minorHAnsi"/>
                <w:sz w:val="16"/>
                <w:szCs w:val="16"/>
              </w:rPr>
              <w:t>, que tuvo por objetivo f</w:t>
            </w:r>
            <w:r w:rsidRPr="002D76B4">
              <w:rPr>
                <w:rFonts w:asciiTheme="minorHAnsi" w:hAnsiTheme="minorHAnsi" w:cstheme="minorHAnsi"/>
                <w:sz w:val="16"/>
                <w:szCs w:val="16"/>
              </w:rPr>
              <w:t>ortalecer las capacidades de las lideresas cacaoteras</w:t>
            </w:r>
            <w:r>
              <w:rPr>
                <w:rFonts w:asciiTheme="minorHAnsi" w:hAnsiTheme="minorHAnsi" w:cstheme="minorHAnsi"/>
                <w:sz w:val="16"/>
                <w:szCs w:val="16"/>
              </w:rPr>
              <w:t xml:space="preserve"> </w:t>
            </w:r>
            <w:r w:rsidRPr="002D76B4">
              <w:rPr>
                <w:rFonts w:asciiTheme="minorHAnsi" w:hAnsiTheme="minorHAnsi" w:cstheme="minorHAnsi"/>
                <w:sz w:val="16"/>
                <w:szCs w:val="16"/>
              </w:rPr>
              <w:t>mediante el conocimiento directo de experiencias organizativas y</w:t>
            </w:r>
            <w:r>
              <w:rPr>
                <w:rFonts w:asciiTheme="minorHAnsi" w:hAnsiTheme="minorHAnsi" w:cstheme="minorHAnsi"/>
                <w:sz w:val="16"/>
                <w:szCs w:val="16"/>
              </w:rPr>
              <w:t xml:space="preserve"> </w:t>
            </w:r>
            <w:r w:rsidRPr="002D76B4">
              <w:rPr>
                <w:rFonts w:asciiTheme="minorHAnsi" w:hAnsiTheme="minorHAnsi" w:cstheme="minorHAnsi"/>
                <w:sz w:val="16"/>
                <w:szCs w:val="16"/>
              </w:rPr>
              <w:t>productivas sostenibles, destacando la labor del CODEMU y las</w:t>
            </w:r>
            <w:r>
              <w:rPr>
                <w:rFonts w:asciiTheme="minorHAnsi" w:hAnsiTheme="minorHAnsi" w:cstheme="minorHAnsi"/>
                <w:sz w:val="16"/>
                <w:szCs w:val="16"/>
              </w:rPr>
              <w:t xml:space="preserve"> </w:t>
            </w:r>
            <w:r w:rsidRPr="002D76B4">
              <w:rPr>
                <w:rFonts w:asciiTheme="minorHAnsi" w:hAnsiTheme="minorHAnsi" w:cstheme="minorHAnsi"/>
                <w:sz w:val="16"/>
                <w:szCs w:val="16"/>
              </w:rPr>
              <w:t>experiencias exitosas de la Cooperativa Agraria Cafetalera Pangoa.</w:t>
            </w:r>
            <w:r w:rsidR="00B3285C">
              <w:rPr>
                <w:rFonts w:asciiTheme="minorHAnsi" w:hAnsiTheme="minorHAnsi" w:cstheme="minorHAnsi"/>
                <w:sz w:val="16"/>
                <w:szCs w:val="16"/>
              </w:rPr>
              <w:t xml:space="preserve"> Participaron 24 mujeres, las cuales forman parte del Programa de Liderazgo que promueve el proyecto.</w:t>
            </w:r>
          </w:p>
        </w:tc>
        <w:tc>
          <w:tcPr>
            <w:tcW w:w="6520" w:type="dxa"/>
            <w:gridSpan w:val="6"/>
            <w:tcBorders>
              <w:bottom w:val="single" w:sz="4" w:space="0" w:color="auto"/>
            </w:tcBorders>
            <w:vAlign w:val="center"/>
          </w:tcPr>
          <w:p w14:paraId="21786244" w14:textId="77777777" w:rsidR="005058DD" w:rsidRPr="005058DD" w:rsidRDefault="005058DD" w:rsidP="005058DD">
            <w:pPr>
              <w:tabs>
                <w:tab w:val="left" w:pos="4680"/>
              </w:tabs>
              <w:rPr>
                <w:rFonts w:asciiTheme="minorHAnsi" w:eastAsiaTheme="minorEastAsia" w:hAnsiTheme="minorHAnsi" w:cstheme="minorHAnsi"/>
                <w:sz w:val="16"/>
                <w:szCs w:val="16"/>
              </w:rPr>
            </w:pPr>
            <w:r w:rsidRPr="005058DD">
              <w:rPr>
                <w:rFonts w:asciiTheme="minorHAnsi" w:eastAsiaTheme="minorEastAsia" w:hAnsiTheme="minorHAnsi" w:cstheme="minorHAnsi"/>
                <w:sz w:val="16"/>
                <w:szCs w:val="16"/>
              </w:rPr>
              <w:lastRenderedPageBreak/>
              <w:t>Durante el 2025 se planificó la elaboración de una herramienta de recursos educativos, para lo cual se definió el tema y se avanzó en la formulación de los términos de referencia. El recurso propuesto, titulado “Curso de Preparación para Ferias Comerciales: módulo para organizaciones de café y cacao sostenibles”, tomó como base el diseño desarrollado para el Salón del Cacao y el Chocolate. No obstante, se consideró pertinente enriquecer su contenido incorporando las lecciones y experiencias derivadas de la FICAFÉ, con el fin de consolidar un material más integral y aplicable a distintos espacios comerciales.</w:t>
            </w:r>
          </w:p>
          <w:p w14:paraId="68DD74FA" w14:textId="5C47E793" w:rsidR="00B3285C" w:rsidRPr="00DE692F" w:rsidRDefault="005058DD" w:rsidP="005058DD">
            <w:pPr>
              <w:tabs>
                <w:tab w:val="left" w:pos="4680"/>
              </w:tabs>
              <w:rPr>
                <w:rFonts w:asciiTheme="minorHAnsi" w:hAnsiTheme="minorHAnsi" w:cstheme="minorHAnsi"/>
                <w:sz w:val="16"/>
                <w:szCs w:val="16"/>
              </w:rPr>
            </w:pPr>
            <w:r w:rsidRPr="005058DD">
              <w:rPr>
                <w:rFonts w:asciiTheme="minorHAnsi" w:eastAsiaTheme="minorEastAsia" w:hAnsiTheme="minorHAnsi" w:cstheme="minorHAnsi"/>
                <w:sz w:val="16"/>
                <w:szCs w:val="16"/>
              </w:rPr>
              <w:t>En ese contexto, los insumos necesarios estuvieron disponibles hacia finales de 2025, lo que reprogramó el inicio del servicio. Los términos de referencia quedaron elaborados y el proceso de convocatoria se ha previsto para el primer trimestre de 2026.</w:t>
            </w:r>
          </w:p>
        </w:tc>
      </w:tr>
      <w:tr w:rsidR="00262586" w:rsidRPr="00DE692F" w14:paraId="37180E72" w14:textId="77777777" w:rsidTr="005B7DD9">
        <w:trPr>
          <w:trHeight w:val="1190"/>
        </w:trPr>
        <w:tc>
          <w:tcPr>
            <w:tcW w:w="1702" w:type="dxa"/>
            <w:tcBorders>
              <w:bottom w:val="single" w:sz="4" w:space="0" w:color="auto"/>
            </w:tcBorders>
            <w:shd w:val="clear" w:color="auto" w:fill="D0CECE" w:themeFill="background2" w:themeFillShade="E6"/>
            <w:vAlign w:val="center"/>
          </w:tcPr>
          <w:p w14:paraId="5812E390" w14:textId="7B887CC5" w:rsidR="00262586" w:rsidRPr="00DE692F" w:rsidRDefault="00262586" w:rsidP="00262586">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4.1.3</w:t>
            </w:r>
          </w:p>
        </w:tc>
        <w:tc>
          <w:tcPr>
            <w:tcW w:w="2400" w:type="dxa"/>
            <w:tcBorders>
              <w:bottom w:val="single" w:sz="4" w:space="0" w:color="auto"/>
            </w:tcBorders>
            <w:shd w:val="clear" w:color="auto" w:fill="D0CECE" w:themeFill="background2" w:themeFillShade="E6"/>
            <w:vAlign w:val="center"/>
          </w:tcPr>
          <w:p w14:paraId="67B0DEDB"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076265B5" w14:textId="5659D337" w:rsidR="00262586" w:rsidRPr="00DE692F" w:rsidRDefault="00D90797"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262586"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64E484AD"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2DC2DC55"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278B698B"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2A5CC9F9"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4BD0C14"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3854511"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4AB762EF"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785B48C8"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61041851"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7525B869"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43207DF2" w14:textId="77777777" w:rsidR="00262586" w:rsidRPr="00DE692F" w:rsidRDefault="00262586" w:rsidP="00262586">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508C72AC" w14:textId="77777777" w:rsidR="00262586" w:rsidRPr="00DE692F" w:rsidRDefault="00262586" w:rsidP="00262586">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303D4696" w14:textId="77777777" w:rsidTr="005B7DD9">
        <w:trPr>
          <w:trHeight w:val="688"/>
        </w:trPr>
        <w:tc>
          <w:tcPr>
            <w:tcW w:w="1702" w:type="dxa"/>
            <w:vAlign w:val="center"/>
          </w:tcPr>
          <w:p w14:paraId="30EEFCB6" w14:textId="172052BC"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Productores nacionales que participan en el proyecto, tanto hombres como mujeres, están capacitados para presentarse y representarse a sí mismos en eventos nacionales e internacionales, estableciendo conexiones con compradores interesados en commodities libres de deforestación</w:t>
            </w:r>
          </w:p>
        </w:tc>
        <w:tc>
          <w:tcPr>
            <w:tcW w:w="2400" w:type="dxa"/>
            <w:vAlign w:val="center"/>
          </w:tcPr>
          <w:p w14:paraId="5B61AF07" w14:textId="70F59EA5" w:rsidR="00FC61EA"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w:t>
            </w:r>
          </w:p>
        </w:tc>
        <w:tc>
          <w:tcPr>
            <w:tcW w:w="860" w:type="dxa"/>
            <w:vAlign w:val="center"/>
          </w:tcPr>
          <w:p w14:paraId="4D84825F" w14:textId="79FBF4B8"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992" w:type="dxa"/>
            <w:vAlign w:val="center"/>
          </w:tcPr>
          <w:p w14:paraId="6F8A66C0" w14:textId="66E33F9A" w:rsidR="003656FC" w:rsidRPr="00DE692F"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2B94D7B3" w14:textId="60E180CD" w:rsidR="003656FC" w:rsidRPr="00DE692F"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0823C2ED" w14:textId="78EDA841" w:rsidR="00FC61EA" w:rsidRPr="00DE692F" w:rsidRDefault="00304F38"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5EF9A9DB" w14:textId="44187E50" w:rsidR="003656FC" w:rsidRPr="00DE692F" w:rsidRDefault="001A7B3B"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2AF61365" w14:textId="5B8DBE86" w:rsidR="003656FC" w:rsidRPr="00DE692F" w:rsidRDefault="00841A3E"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128CDCC1" w14:textId="74629505" w:rsidR="003656FC" w:rsidRDefault="003656FC" w:rsidP="003656FC">
            <w:pPr>
              <w:tabs>
                <w:tab w:val="left" w:pos="4680"/>
              </w:tabs>
              <w:jc w:val="center"/>
              <w:rPr>
                <w:rFonts w:asciiTheme="minorHAnsi" w:eastAsiaTheme="minorEastAsia" w:hAnsiTheme="minorHAnsi" w:cstheme="minorHAnsi"/>
                <w:sz w:val="16"/>
                <w:szCs w:val="16"/>
              </w:rPr>
            </w:pPr>
          </w:p>
          <w:p w14:paraId="3D52E58E" w14:textId="6E597A47" w:rsidR="00FC61EA" w:rsidRPr="00DE692F" w:rsidRDefault="0007027C"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40</w:t>
            </w:r>
            <w:r w:rsidR="003E2564">
              <w:rPr>
                <w:rFonts w:asciiTheme="minorHAnsi" w:eastAsiaTheme="minorEastAsia" w:hAnsiTheme="minorHAnsi" w:cstheme="minorHAnsi"/>
                <w:sz w:val="16"/>
                <w:szCs w:val="16"/>
              </w:rPr>
              <w:t>%</w:t>
            </w:r>
            <w:r w:rsidR="00D90797">
              <w:rPr>
                <w:rStyle w:val="Refdenotaalpie"/>
                <w:rFonts w:eastAsiaTheme="minorEastAsia" w:cstheme="minorHAnsi"/>
                <w:szCs w:val="16"/>
              </w:rPr>
              <w:footnoteReference w:id="32"/>
            </w:r>
          </w:p>
        </w:tc>
      </w:tr>
      <w:tr w:rsidR="003656FC" w:rsidRPr="00DE692F" w14:paraId="0CB262BC" w14:textId="77777777" w:rsidTr="005B7DD9">
        <w:trPr>
          <w:trHeight w:val="176"/>
        </w:trPr>
        <w:tc>
          <w:tcPr>
            <w:tcW w:w="11482" w:type="dxa"/>
            <w:gridSpan w:val="9"/>
            <w:shd w:val="clear" w:color="auto" w:fill="D0CECE" w:themeFill="background2" w:themeFillShade="E6"/>
            <w:vAlign w:val="center"/>
          </w:tcPr>
          <w:p w14:paraId="39C9C5B4"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12A204B3" w14:textId="77777777" w:rsidTr="005B7DD9">
        <w:trPr>
          <w:trHeight w:val="294"/>
        </w:trPr>
        <w:tc>
          <w:tcPr>
            <w:tcW w:w="1702" w:type="dxa"/>
            <w:vAlign w:val="center"/>
          </w:tcPr>
          <w:p w14:paraId="32827FB1" w14:textId="43B8FDA2"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4.1.3.1</w:t>
            </w:r>
          </w:p>
        </w:tc>
        <w:tc>
          <w:tcPr>
            <w:tcW w:w="9780" w:type="dxa"/>
            <w:gridSpan w:val="8"/>
            <w:vAlign w:val="center"/>
          </w:tcPr>
          <w:p w14:paraId="53698862" w14:textId="61277D58"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e implementación de dos estrategias (una para cada CLD) para mejorar la articulación y acceso al mercado de productores, facilitando su participación en eventos comerciales nacionales e internacionales, asegurando el enfoque de género e interculturalidad</w:t>
            </w:r>
          </w:p>
        </w:tc>
      </w:tr>
      <w:tr w:rsidR="003656FC" w:rsidRPr="00DE692F" w14:paraId="53B6BF11" w14:textId="77777777" w:rsidTr="005B7DD9">
        <w:trPr>
          <w:trHeight w:val="256"/>
        </w:trPr>
        <w:tc>
          <w:tcPr>
            <w:tcW w:w="1702" w:type="dxa"/>
            <w:vAlign w:val="center"/>
          </w:tcPr>
          <w:p w14:paraId="6C9B0C7C" w14:textId="7C1560D9"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4.1.3.2</w:t>
            </w:r>
          </w:p>
        </w:tc>
        <w:tc>
          <w:tcPr>
            <w:tcW w:w="9780" w:type="dxa"/>
            <w:gridSpan w:val="8"/>
            <w:vAlign w:val="center"/>
          </w:tcPr>
          <w:p w14:paraId="133AD980" w14:textId="418C4D9C"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Informes anuales de monitoreo de las exportaciones de CLD (toneladas) por producto en la jurisdicción del Proyecto, incluyendo un análisis de tendencias</w:t>
            </w:r>
          </w:p>
        </w:tc>
      </w:tr>
      <w:tr w:rsidR="003656FC" w:rsidRPr="00DE692F" w14:paraId="23F1F462" w14:textId="77777777" w:rsidTr="005B7DD9">
        <w:trPr>
          <w:trHeight w:val="232"/>
        </w:trPr>
        <w:tc>
          <w:tcPr>
            <w:tcW w:w="1702" w:type="dxa"/>
            <w:vAlign w:val="center"/>
          </w:tcPr>
          <w:p w14:paraId="24CCD887" w14:textId="12344E0D"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4.1.3.3</w:t>
            </w:r>
          </w:p>
        </w:tc>
        <w:tc>
          <w:tcPr>
            <w:tcW w:w="9780" w:type="dxa"/>
            <w:gridSpan w:val="8"/>
            <w:vAlign w:val="center"/>
          </w:tcPr>
          <w:p w14:paraId="619B755A" w14:textId="48BF3735"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Conformación y fortalecimiento de una "Red de mujeres productoras de café y cacao libres de deforestación" en el área de jurisdicción del proyecto</w:t>
            </w:r>
          </w:p>
        </w:tc>
      </w:tr>
      <w:tr w:rsidR="003656FC" w:rsidRPr="00DE692F" w14:paraId="01F91758" w14:textId="77777777" w:rsidTr="005B7DD9">
        <w:trPr>
          <w:trHeight w:val="688"/>
        </w:trPr>
        <w:tc>
          <w:tcPr>
            <w:tcW w:w="4962" w:type="dxa"/>
            <w:gridSpan w:val="3"/>
            <w:tcBorders>
              <w:bottom w:val="single" w:sz="4" w:space="0" w:color="auto"/>
            </w:tcBorders>
            <w:vAlign w:val="center"/>
          </w:tcPr>
          <w:p w14:paraId="20A2054B" w14:textId="4068A587" w:rsidR="00F9525E" w:rsidRPr="00E524C4" w:rsidRDefault="00E524C4" w:rsidP="00F9525E">
            <w:pPr>
              <w:tabs>
                <w:tab w:val="left" w:pos="4680"/>
              </w:tabs>
              <w:rPr>
                <w:rFonts w:asciiTheme="minorHAnsi" w:hAnsiTheme="minorHAnsi" w:cstheme="minorHAnsi"/>
                <w:sz w:val="16"/>
                <w:szCs w:val="16"/>
              </w:rPr>
            </w:pPr>
            <w:r>
              <w:rPr>
                <w:rFonts w:asciiTheme="minorHAnsi" w:hAnsiTheme="minorHAnsi" w:cstheme="minorHAnsi"/>
                <w:sz w:val="16"/>
                <w:szCs w:val="16"/>
              </w:rPr>
              <w:t>Se d</w:t>
            </w:r>
            <w:r w:rsidR="00F9525E" w:rsidRPr="00E524C4">
              <w:rPr>
                <w:rFonts w:asciiTheme="minorHAnsi" w:hAnsiTheme="minorHAnsi" w:cstheme="minorHAnsi"/>
                <w:sz w:val="16"/>
                <w:szCs w:val="16"/>
              </w:rPr>
              <w:t>iseñ</w:t>
            </w:r>
            <w:r>
              <w:rPr>
                <w:rFonts w:asciiTheme="minorHAnsi" w:hAnsiTheme="minorHAnsi" w:cstheme="minorHAnsi"/>
                <w:sz w:val="16"/>
                <w:szCs w:val="16"/>
              </w:rPr>
              <w:t>ó e inició la</w:t>
            </w:r>
            <w:r w:rsidR="00F9525E" w:rsidRPr="00E524C4">
              <w:rPr>
                <w:rFonts w:asciiTheme="minorHAnsi" w:hAnsiTheme="minorHAnsi" w:cstheme="minorHAnsi"/>
                <w:sz w:val="16"/>
                <w:szCs w:val="16"/>
              </w:rPr>
              <w:t xml:space="preserve"> implementación de estrategia de articulación y acceso al mercado</w:t>
            </w:r>
            <w:r w:rsidR="00D90797">
              <w:rPr>
                <w:rFonts w:asciiTheme="minorHAnsi" w:hAnsiTheme="minorHAnsi" w:cstheme="minorHAnsi"/>
                <w:sz w:val="16"/>
                <w:szCs w:val="16"/>
              </w:rPr>
              <w:t xml:space="preserve"> para café y cacao:</w:t>
            </w:r>
          </w:p>
          <w:p w14:paraId="02B1D548" w14:textId="16720ED3" w:rsidR="00F9525E" w:rsidRDefault="00E524C4" w:rsidP="00F9525E">
            <w:pPr>
              <w:tabs>
                <w:tab w:val="left" w:pos="4680"/>
              </w:tabs>
              <w:rPr>
                <w:rFonts w:asciiTheme="minorHAnsi" w:hAnsiTheme="minorHAnsi" w:cstheme="minorHAnsi"/>
                <w:sz w:val="16"/>
                <w:szCs w:val="16"/>
              </w:rPr>
            </w:pPr>
            <w:r>
              <w:rPr>
                <w:rFonts w:asciiTheme="minorHAnsi" w:hAnsiTheme="minorHAnsi" w:cstheme="minorHAnsi"/>
                <w:sz w:val="16"/>
                <w:szCs w:val="16"/>
              </w:rPr>
              <w:t>La e</w:t>
            </w:r>
            <w:r w:rsidR="00F9525E" w:rsidRPr="00DE692F">
              <w:rPr>
                <w:rFonts w:asciiTheme="minorHAnsi" w:hAnsiTheme="minorHAnsi" w:cstheme="minorHAnsi"/>
                <w:sz w:val="16"/>
                <w:szCs w:val="16"/>
              </w:rPr>
              <w:t>strategia para la Articulación y Acceso a Mercados de Productores de CLD, define mecanismos concretos para facilitar su participación</w:t>
            </w:r>
            <w:r w:rsidR="00D90797">
              <w:rPr>
                <w:rFonts w:asciiTheme="minorHAnsi" w:hAnsiTheme="minorHAnsi" w:cstheme="minorHAnsi"/>
                <w:sz w:val="16"/>
                <w:szCs w:val="16"/>
              </w:rPr>
              <w:t xml:space="preserve"> efectiva</w:t>
            </w:r>
            <w:r w:rsidR="00F9525E" w:rsidRPr="00DE692F">
              <w:rPr>
                <w:rFonts w:asciiTheme="minorHAnsi" w:hAnsiTheme="minorHAnsi" w:cstheme="minorHAnsi"/>
                <w:sz w:val="16"/>
                <w:szCs w:val="16"/>
              </w:rPr>
              <w:t xml:space="preserve"> en eventos comerciales nacionales e internacionales. La estrategia establece rutas operativas para la identificación de ferias de commodities relevantes, protocolos de preparación (presentación de la oferta, conocimiento del producto y fortalecimiento de la capacidad de negociación), alianzas con compradores interesados en commodities libres de deforestación e instrumentos que garantizan igualdad de oportunidades de participación para hombres y mujeres. Como resultado, las organizaciones cuentan con un instrumento operativo que orienta </w:t>
            </w:r>
            <w:r w:rsidR="00F9525E" w:rsidRPr="00DE692F">
              <w:rPr>
                <w:rFonts w:asciiTheme="minorHAnsi" w:hAnsiTheme="minorHAnsi" w:cstheme="minorHAnsi"/>
                <w:sz w:val="16"/>
                <w:szCs w:val="16"/>
              </w:rPr>
              <w:lastRenderedPageBreak/>
              <w:t>dónde, cuándo y cómo posicionar sus productos en mercados vinculados a cadenas libres de deforestación.</w:t>
            </w:r>
          </w:p>
          <w:p w14:paraId="2BA03406" w14:textId="77777777" w:rsidR="00040142" w:rsidRDefault="00040142" w:rsidP="00F9525E">
            <w:pPr>
              <w:tabs>
                <w:tab w:val="left" w:pos="4680"/>
              </w:tabs>
              <w:rPr>
                <w:rFonts w:asciiTheme="minorHAnsi" w:hAnsiTheme="minorHAnsi" w:cstheme="minorHAnsi"/>
                <w:sz w:val="16"/>
                <w:szCs w:val="16"/>
              </w:rPr>
            </w:pPr>
          </w:p>
          <w:p w14:paraId="517B9515" w14:textId="0D1329B0" w:rsidR="00040142" w:rsidRDefault="00040142" w:rsidP="00040142">
            <w:pPr>
              <w:tabs>
                <w:tab w:val="left" w:pos="4680"/>
              </w:tabs>
              <w:rPr>
                <w:rFonts w:asciiTheme="minorHAnsi" w:hAnsiTheme="minorHAnsi" w:cstheme="minorHAnsi"/>
                <w:sz w:val="16"/>
                <w:szCs w:val="16"/>
              </w:rPr>
            </w:pPr>
            <w:r>
              <w:rPr>
                <w:rFonts w:asciiTheme="minorHAnsi" w:hAnsiTheme="minorHAnsi" w:cstheme="minorHAnsi"/>
                <w:sz w:val="16"/>
                <w:szCs w:val="16"/>
              </w:rPr>
              <w:t>Con base a esta estrategia, se mantuvieron coordinaciones con MINCETUR, PROMPERÚ y PRODUCE, y se tuvieron los siguientes resultados:</w:t>
            </w:r>
          </w:p>
          <w:p w14:paraId="41EA4C20" w14:textId="37973D4C" w:rsidR="00040142" w:rsidRDefault="00040142" w:rsidP="00F256E2">
            <w:pPr>
              <w:pStyle w:val="Prrafodelista"/>
              <w:numPr>
                <w:ilvl w:val="0"/>
                <w:numId w:val="38"/>
              </w:numPr>
              <w:tabs>
                <w:tab w:val="left" w:pos="4680"/>
              </w:tabs>
              <w:rPr>
                <w:rFonts w:asciiTheme="minorHAnsi" w:hAnsiTheme="minorHAnsi" w:cstheme="minorHAnsi"/>
                <w:sz w:val="16"/>
                <w:szCs w:val="16"/>
              </w:rPr>
            </w:pPr>
            <w:r>
              <w:rPr>
                <w:rFonts w:asciiTheme="minorHAnsi" w:hAnsiTheme="minorHAnsi" w:cstheme="minorHAnsi"/>
                <w:sz w:val="16"/>
                <w:szCs w:val="16"/>
              </w:rPr>
              <w:t>Se apoyó la p</w:t>
            </w:r>
            <w:r w:rsidRPr="00040142">
              <w:rPr>
                <w:rFonts w:asciiTheme="minorHAnsi" w:hAnsiTheme="minorHAnsi" w:cstheme="minorHAnsi"/>
                <w:sz w:val="16"/>
                <w:szCs w:val="16"/>
              </w:rPr>
              <w:t>articipación de Aromas Finos en World of Coffee 2025 (Ginebra, Suiza) generando 2 beneficiarios directos y 283 indirectos (94 mujeres productoras).</w:t>
            </w:r>
          </w:p>
          <w:p w14:paraId="59EDB91D" w14:textId="77777777" w:rsidR="00F932B2" w:rsidRDefault="00040142" w:rsidP="00040142">
            <w:pPr>
              <w:pStyle w:val="Prrafodelista"/>
              <w:numPr>
                <w:ilvl w:val="0"/>
                <w:numId w:val="38"/>
              </w:numPr>
              <w:tabs>
                <w:tab w:val="left" w:pos="4680"/>
              </w:tabs>
              <w:rPr>
                <w:rFonts w:asciiTheme="minorHAnsi" w:hAnsiTheme="minorHAnsi" w:cstheme="minorHAnsi"/>
                <w:sz w:val="16"/>
                <w:szCs w:val="16"/>
              </w:rPr>
            </w:pPr>
            <w:r>
              <w:rPr>
                <w:rFonts w:asciiTheme="minorHAnsi" w:hAnsiTheme="minorHAnsi" w:cstheme="minorHAnsi"/>
                <w:sz w:val="16"/>
                <w:szCs w:val="16"/>
              </w:rPr>
              <w:t>Se</w:t>
            </w:r>
            <w:r w:rsidRPr="00040142">
              <w:rPr>
                <w:rFonts w:asciiTheme="minorHAnsi" w:hAnsiTheme="minorHAnsi" w:cstheme="minorHAnsi"/>
                <w:sz w:val="16"/>
                <w:szCs w:val="16"/>
              </w:rPr>
              <w:t xml:space="preserve"> facilitó la participación </w:t>
            </w:r>
            <w:r w:rsidR="00F932B2" w:rsidRPr="00040142">
              <w:rPr>
                <w:rFonts w:asciiTheme="minorHAnsi" w:hAnsiTheme="minorHAnsi" w:cstheme="minorHAnsi"/>
                <w:sz w:val="16"/>
                <w:szCs w:val="16"/>
              </w:rPr>
              <w:t>en el XVI Salón del Cacao y Chocolate 2025</w:t>
            </w:r>
            <w:r w:rsidR="00F932B2">
              <w:rPr>
                <w:rFonts w:asciiTheme="minorHAnsi" w:hAnsiTheme="minorHAnsi" w:cstheme="minorHAnsi"/>
                <w:sz w:val="16"/>
                <w:szCs w:val="16"/>
              </w:rPr>
              <w:t xml:space="preserve"> </w:t>
            </w:r>
            <w:r>
              <w:rPr>
                <w:rFonts w:asciiTheme="minorHAnsi" w:hAnsiTheme="minorHAnsi" w:cstheme="minorHAnsi"/>
                <w:sz w:val="16"/>
                <w:szCs w:val="16"/>
              </w:rPr>
              <w:t>de</w:t>
            </w:r>
            <w:r w:rsidRPr="00040142">
              <w:rPr>
                <w:rFonts w:asciiTheme="minorHAnsi" w:hAnsiTheme="minorHAnsi" w:cstheme="minorHAnsi"/>
                <w:sz w:val="16"/>
                <w:szCs w:val="16"/>
              </w:rPr>
              <w:t xml:space="preserve"> 10 organizaciones (7 productores y 11 productoras) tanto para la feria</w:t>
            </w:r>
            <w:r w:rsidR="00F932B2">
              <w:rPr>
                <w:rFonts w:asciiTheme="minorHAnsi" w:hAnsiTheme="minorHAnsi" w:cstheme="minorHAnsi"/>
                <w:sz w:val="16"/>
                <w:szCs w:val="16"/>
              </w:rPr>
              <w:t xml:space="preserve"> en el stand del MINAM</w:t>
            </w:r>
            <w:r w:rsidRPr="00040142">
              <w:rPr>
                <w:rFonts w:asciiTheme="minorHAnsi" w:hAnsiTheme="minorHAnsi" w:cstheme="minorHAnsi"/>
                <w:sz w:val="16"/>
                <w:szCs w:val="16"/>
              </w:rPr>
              <w:t xml:space="preserve"> </w:t>
            </w:r>
            <w:r>
              <w:rPr>
                <w:rFonts w:asciiTheme="minorHAnsi" w:hAnsiTheme="minorHAnsi" w:cstheme="minorHAnsi"/>
                <w:sz w:val="16"/>
                <w:szCs w:val="16"/>
              </w:rPr>
              <w:t>(8)</w:t>
            </w:r>
            <w:r w:rsidR="00F932B2">
              <w:rPr>
                <w:rFonts w:asciiTheme="minorHAnsi" w:hAnsiTheme="minorHAnsi" w:cstheme="minorHAnsi"/>
                <w:sz w:val="16"/>
                <w:szCs w:val="16"/>
              </w:rPr>
              <w:t>,</w:t>
            </w:r>
            <w:r w:rsidRPr="00040142">
              <w:rPr>
                <w:rFonts w:asciiTheme="minorHAnsi" w:hAnsiTheme="minorHAnsi" w:cstheme="minorHAnsi"/>
                <w:sz w:val="16"/>
                <w:szCs w:val="16"/>
              </w:rPr>
              <w:t xml:space="preserve"> como </w:t>
            </w:r>
            <w:r w:rsidR="00F932B2">
              <w:rPr>
                <w:rFonts w:asciiTheme="minorHAnsi" w:hAnsiTheme="minorHAnsi" w:cstheme="minorHAnsi"/>
                <w:sz w:val="16"/>
                <w:szCs w:val="16"/>
              </w:rPr>
              <w:t xml:space="preserve">para </w:t>
            </w:r>
            <w:r w:rsidRPr="00040142">
              <w:rPr>
                <w:rFonts w:asciiTheme="minorHAnsi" w:hAnsiTheme="minorHAnsi" w:cstheme="minorHAnsi"/>
                <w:sz w:val="16"/>
                <w:szCs w:val="16"/>
              </w:rPr>
              <w:t xml:space="preserve">las ruedas de negocio </w:t>
            </w:r>
            <w:r w:rsidR="00F932B2">
              <w:rPr>
                <w:rFonts w:asciiTheme="minorHAnsi" w:hAnsiTheme="minorHAnsi" w:cstheme="minorHAnsi"/>
                <w:sz w:val="16"/>
                <w:szCs w:val="16"/>
              </w:rPr>
              <w:t>(10). E</w:t>
            </w:r>
            <w:r w:rsidRPr="00040142">
              <w:rPr>
                <w:rFonts w:asciiTheme="minorHAnsi" w:hAnsiTheme="minorHAnsi" w:cstheme="minorHAnsi"/>
                <w:sz w:val="16"/>
                <w:szCs w:val="16"/>
              </w:rPr>
              <w:t xml:space="preserve">stas organizaciones representan a 1,800 socios de los cuales, se estima alrededor de 540 mujeres. Como resultado, se obtuvo una intención de compra de $ 1, 170,000, así como más de S/.24 mil soles en el stand del MINAM. </w:t>
            </w:r>
            <w:r w:rsidR="00F932B2">
              <w:rPr>
                <w:rFonts w:asciiTheme="minorHAnsi" w:hAnsiTheme="minorHAnsi" w:cstheme="minorHAnsi"/>
                <w:sz w:val="16"/>
                <w:szCs w:val="16"/>
              </w:rPr>
              <w:t xml:space="preserve">Para mejorar las capacidades y participación efectiva de los productores participantes, </w:t>
            </w:r>
            <w:r w:rsidRPr="00040142">
              <w:rPr>
                <w:rFonts w:asciiTheme="minorHAnsi" w:hAnsiTheme="minorHAnsi" w:cstheme="minorHAnsi"/>
                <w:sz w:val="16"/>
                <w:szCs w:val="16"/>
              </w:rPr>
              <w:t>se diseñó e implementó el curso de "Fortalecimiento de capacidades comerciales"</w:t>
            </w:r>
            <w:r w:rsidR="00F932B2">
              <w:rPr>
                <w:rFonts w:asciiTheme="minorHAnsi" w:hAnsiTheme="minorHAnsi" w:cstheme="minorHAnsi"/>
                <w:sz w:val="16"/>
                <w:szCs w:val="16"/>
              </w:rPr>
              <w:t>.</w:t>
            </w:r>
          </w:p>
          <w:p w14:paraId="54018A1D" w14:textId="77777777" w:rsidR="00841A3E" w:rsidRDefault="00F932B2" w:rsidP="00841A3E">
            <w:pPr>
              <w:pStyle w:val="Prrafodelista"/>
              <w:numPr>
                <w:ilvl w:val="0"/>
                <w:numId w:val="38"/>
              </w:numPr>
              <w:tabs>
                <w:tab w:val="left" w:pos="4680"/>
              </w:tabs>
              <w:rPr>
                <w:rFonts w:asciiTheme="minorHAnsi" w:hAnsiTheme="minorHAnsi" w:cstheme="minorHAnsi"/>
                <w:sz w:val="16"/>
                <w:szCs w:val="16"/>
              </w:rPr>
            </w:pPr>
            <w:r w:rsidRPr="00841A3E">
              <w:rPr>
                <w:rFonts w:asciiTheme="minorHAnsi" w:hAnsiTheme="minorHAnsi" w:cstheme="minorHAnsi"/>
                <w:sz w:val="16"/>
                <w:szCs w:val="16"/>
              </w:rPr>
              <w:t xml:space="preserve">Se facilitó </w:t>
            </w:r>
            <w:r w:rsidR="00841A3E" w:rsidRPr="00841A3E">
              <w:rPr>
                <w:rFonts w:asciiTheme="minorHAnsi" w:hAnsiTheme="minorHAnsi" w:cstheme="minorHAnsi"/>
                <w:sz w:val="16"/>
                <w:szCs w:val="16"/>
              </w:rPr>
              <w:t xml:space="preserve">la participación </w:t>
            </w:r>
            <w:r w:rsidR="00841A3E">
              <w:rPr>
                <w:rFonts w:asciiTheme="minorHAnsi" w:hAnsiTheme="minorHAnsi" w:cstheme="minorHAnsi"/>
                <w:sz w:val="16"/>
                <w:szCs w:val="16"/>
              </w:rPr>
              <w:t xml:space="preserve">y se brindó </w:t>
            </w:r>
            <w:r w:rsidR="00841A3E" w:rsidRPr="00841A3E">
              <w:rPr>
                <w:rFonts w:asciiTheme="minorHAnsi" w:hAnsiTheme="minorHAnsi" w:cstheme="minorHAnsi"/>
                <w:sz w:val="16"/>
                <w:szCs w:val="16"/>
              </w:rPr>
              <w:t>acompañ</w:t>
            </w:r>
            <w:r w:rsidR="00841A3E">
              <w:rPr>
                <w:rFonts w:asciiTheme="minorHAnsi" w:hAnsiTheme="minorHAnsi" w:cstheme="minorHAnsi"/>
                <w:sz w:val="16"/>
                <w:szCs w:val="16"/>
              </w:rPr>
              <w:t>amiento y asistencia técnica durante</w:t>
            </w:r>
            <w:r w:rsidR="00841A3E" w:rsidRPr="00841A3E">
              <w:rPr>
                <w:rFonts w:asciiTheme="minorHAnsi" w:hAnsiTheme="minorHAnsi" w:cstheme="minorHAnsi"/>
                <w:sz w:val="16"/>
                <w:szCs w:val="16"/>
              </w:rPr>
              <w:t xml:space="preserve"> la</w:t>
            </w:r>
            <w:r w:rsidR="00841A3E">
              <w:rPr>
                <w:rFonts w:asciiTheme="minorHAnsi" w:hAnsiTheme="minorHAnsi" w:cstheme="minorHAnsi"/>
                <w:sz w:val="16"/>
                <w:szCs w:val="16"/>
              </w:rPr>
              <w:t>s</w:t>
            </w:r>
            <w:r w:rsidR="00841A3E" w:rsidRPr="00841A3E">
              <w:rPr>
                <w:rFonts w:asciiTheme="minorHAnsi" w:hAnsiTheme="minorHAnsi" w:cstheme="minorHAnsi"/>
                <w:sz w:val="16"/>
                <w:szCs w:val="16"/>
              </w:rPr>
              <w:t xml:space="preserve"> rueda</w:t>
            </w:r>
            <w:r w:rsidR="00841A3E">
              <w:rPr>
                <w:rFonts w:asciiTheme="minorHAnsi" w:hAnsiTheme="minorHAnsi" w:cstheme="minorHAnsi"/>
                <w:sz w:val="16"/>
                <w:szCs w:val="16"/>
              </w:rPr>
              <w:t>s</w:t>
            </w:r>
            <w:r w:rsidR="00841A3E" w:rsidRPr="00841A3E">
              <w:rPr>
                <w:rFonts w:asciiTheme="minorHAnsi" w:hAnsiTheme="minorHAnsi" w:cstheme="minorHAnsi"/>
                <w:sz w:val="16"/>
                <w:szCs w:val="16"/>
              </w:rPr>
              <w:t xml:space="preserve"> de negocio de la </w:t>
            </w:r>
            <w:r w:rsidR="00841A3E">
              <w:rPr>
                <w:rFonts w:asciiTheme="minorHAnsi" w:hAnsiTheme="minorHAnsi" w:cstheme="minorHAnsi"/>
                <w:sz w:val="16"/>
                <w:szCs w:val="16"/>
              </w:rPr>
              <w:t>E</w:t>
            </w:r>
            <w:r w:rsidR="00040142" w:rsidRPr="00841A3E">
              <w:rPr>
                <w:rFonts w:asciiTheme="minorHAnsi" w:hAnsiTheme="minorHAnsi" w:cstheme="minorHAnsi"/>
                <w:sz w:val="16"/>
                <w:szCs w:val="16"/>
              </w:rPr>
              <w:t>xpoAmazónica, a tres organizaciones Allima Cacao, ASPROC-NBT y APROCEB–</w:t>
            </w:r>
            <w:r w:rsidR="00841A3E" w:rsidRPr="00841A3E">
              <w:rPr>
                <w:rFonts w:asciiTheme="minorHAnsi" w:hAnsiTheme="minorHAnsi" w:cstheme="minorHAnsi"/>
                <w:sz w:val="16"/>
                <w:szCs w:val="16"/>
              </w:rPr>
              <w:t xml:space="preserve">Cerro, </w:t>
            </w:r>
            <w:r w:rsidR="00841A3E">
              <w:rPr>
                <w:rFonts w:asciiTheme="minorHAnsi" w:hAnsiTheme="minorHAnsi" w:cstheme="minorHAnsi"/>
                <w:sz w:val="16"/>
                <w:szCs w:val="16"/>
              </w:rPr>
              <w:t xml:space="preserve">participaron </w:t>
            </w:r>
            <w:r w:rsidR="00040142" w:rsidRPr="00841A3E">
              <w:rPr>
                <w:rFonts w:asciiTheme="minorHAnsi" w:hAnsiTheme="minorHAnsi" w:cstheme="minorHAnsi"/>
                <w:sz w:val="16"/>
                <w:szCs w:val="16"/>
              </w:rPr>
              <w:t xml:space="preserve">en total 8 </w:t>
            </w:r>
            <w:r w:rsidR="00841A3E">
              <w:rPr>
                <w:rFonts w:asciiTheme="minorHAnsi" w:hAnsiTheme="minorHAnsi" w:cstheme="minorHAnsi"/>
                <w:sz w:val="16"/>
                <w:szCs w:val="16"/>
              </w:rPr>
              <w:t>gerentes o presidentes</w:t>
            </w:r>
            <w:r w:rsidR="00040142" w:rsidRPr="00841A3E">
              <w:rPr>
                <w:rFonts w:asciiTheme="minorHAnsi" w:hAnsiTheme="minorHAnsi" w:cstheme="minorHAnsi"/>
                <w:sz w:val="16"/>
                <w:szCs w:val="16"/>
              </w:rPr>
              <w:t>,</w:t>
            </w:r>
            <w:r w:rsidR="00841A3E">
              <w:rPr>
                <w:rFonts w:asciiTheme="minorHAnsi" w:hAnsiTheme="minorHAnsi" w:cstheme="minorHAnsi"/>
                <w:sz w:val="16"/>
                <w:szCs w:val="16"/>
              </w:rPr>
              <w:t xml:space="preserve"> de los cuales</w:t>
            </w:r>
            <w:r w:rsidR="00040142" w:rsidRPr="00841A3E">
              <w:rPr>
                <w:rFonts w:asciiTheme="minorHAnsi" w:hAnsiTheme="minorHAnsi" w:cstheme="minorHAnsi"/>
                <w:sz w:val="16"/>
                <w:szCs w:val="16"/>
              </w:rPr>
              <w:t xml:space="preserve"> 2 </w:t>
            </w:r>
            <w:r w:rsidR="00841A3E">
              <w:rPr>
                <w:rFonts w:asciiTheme="minorHAnsi" w:hAnsiTheme="minorHAnsi" w:cstheme="minorHAnsi"/>
                <w:sz w:val="16"/>
                <w:szCs w:val="16"/>
              </w:rPr>
              <w:t>fueron</w:t>
            </w:r>
            <w:r w:rsidR="00040142" w:rsidRPr="00841A3E">
              <w:rPr>
                <w:rFonts w:asciiTheme="minorHAnsi" w:hAnsiTheme="minorHAnsi" w:cstheme="minorHAnsi"/>
                <w:sz w:val="16"/>
                <w:szCs w:val="16"/>
              </w:rPr>
              <w:t xml:space="preserve"> mujeres. Así mismo, estas organizaciones representan un total de 487 productores, siendo 175 mujeres. Producto de este acompañamiento, las organizaciones lograron una intención total de compra de S/ 1,072,400.</w:t>
            </w:r>
          </w:p>
          <w:p w14:paraId="51069BE4" w14:textId="0E36D769" w:rsidR="00040142" w:rsidRDefault="00841A3E" w:rsidP="00841A3E">
            <w:pPr>
              <w:pStyle w:val="Prrafodelista"/>
              <w:numPr>
                <w:ilvl w:val="0"/>
                <w:numId w:val="38"/>
              </w:numPr>
              <w:tabs>
                <w:tab w:val="left" w:pos="4680"/>
              </w:tabs>
              <w:rPr>
                <w:rFonts w:asciiTheme="minorHAnsi" w:hAnsiTheme="minorHAnsi" w:cstheme="minorHAnsi"/>
                <w:sz w:val="16"/>
                <w:szCs w:val="16"/>
              </w:rPr>
            </w:pPr>
            <w:r>
              <w:rPr>
                <w:rFonts w:asciiTheme="minorHAnsi" w:hAnsiTheme="minorHAnsi" w:cstheme="minorHAnsi"/>
                <w:sz w:val="16"/>
                <w:szCs w:val="16"/>
              </w:rPr>
              <w:t>Se facilitó la participación en el stand del MINAM y durante las ruedas de negocio de la</w:t>
            </w:r>
            <w:r w:rsidR="00040142" w:rsidRPr="00040142">
              <w:rPr>
                <w:rFonts w:asciiTheme="minorHAnsi" w:hAnsiTheme="minorHAnsi" w:cstheme="minorHAnsi"/>
                <w:sz w:val="16"/>
                <w:szCs w:val="16"/>
              </w:rPr>
              <w:t xml:space="preserve"> Feria Internacional de Cafés Especiales - FICAFE, </w:t>
            </w:r>
            <w:r>
              <w:rPr>
                <w:rFonts w:asciiTheme="minorHAnsi" w:hAnsiTheme="minorHAnsi" w:cstheme="minorHAnsi"/>
                <w:sz w:val="16"/>
                <w:szCs w:val="16"/>
              </w:rPr>
              <w:t xml:space="preserve">además, se brindó acompañamiento y asistencia técnica especializada para </w:t>
            </w:r>
            <w:r w:rsidRPr="00F932B2">
              <w:rPr>
                <w:rFonts w:asciiTheme="minorHAnsi" w:hAnsiTheme="minorHAnsi" w:cstheme="minorHAnsi"/>
                <w:sz w:val="16"/>
                <w:szCs w:val="16"/>
              </w:rPr>
              <w:t>que participen de manera estratégica, competitiva y efectiva</w:t>
            </w:r>
            <w:r>
              <w:rPr>
                <w:rFonts w:asciiTheme="minorHAnsi" w:hAnsiTheme="minorHAnsi" w:cstheme="minorHAnsi"/>
                <w:sz w:val="16"/>
                <w:szCs w:val="16"/>
              </w:rPr>
              <w:t>. S</w:t>
            </w:r>
            <w:r w:rsidR="00040142" w:rsidRPr="00040142">
              <w:rPr>
                <w:rFonts w:asciiTheme="minorHAnsi" w:hAnsiTheme="minorHAnsi" w:cstheme="minorHAnsi"/>
                <w:sz w:val="16"/>
                <w:szCs w:val="16"/>
              </w:rPr>
              <w:t>e obtuvo una intención de compra de S/ 20,858,000, participaron 12 organizaciones de productores, destacando APROCEB, CAFCER, APECAM, CAPISAM, Coffee Land Peru, APROCASSI), de las cuales se estima un 30% de mujeres socias.</w:t>
            </w:r>
          </w:p>
          <w:p w14:paraId="77476836" w14:textId="17517EBC" w:rsidR="00F9525E" w:rsidRPr="00FF54DC" w:rsidRDefault="00F9525E" w:rsidP="00F9525E">
            <w:pPr>
              <w:tabs>
                <w:tab w:val="left" w:pos="4680"/>
              </w:tabs>
              <w:rPr>
                <w:rFonts w:asciiTheme="minorHAnsi" w:hAnsiTheme="minorHAnsi" w:cstheme="minorHAnsi"/>
                <w:b/>
                <w:bCs/>
                <w:sz w:val="16"/>
                <w:szCs w:val="16"/>
              </w:rPr>
            </w:pPr>
            <w:r w:rsidRPr="00FF54DC">
              <w:rPr>
                <w:rFonts w:asciiTheme="minorHAnsi" w:hAnsiTheme="minorHAnsi" w:cstheme="minorHAnsi"/>
                <w:b/>
                <w:bCs/>
                <w:sz w:val="16"/>
                <w:szCs w:val="16"/>
              </w:rPr>
              <w:t>Conformación de Red de Mujeres Productoras (red estructurada)</w:t>
            </w:r>
          </w:p>
          <w:p w14:paraId="143922A7" w14:textId="41AF8448" w:rsidR="003656FC" w:rsidRPr="00FF54DC" w:rsidRDefault="00FF54DC" w:rsidP="00FF54DC">
            <w:pPr>
              <w:tabs>
                <w:tab w:val="left" w:pos="4680"/>
              </w:tabs>
              <w:rPr>
                <w:rFonts w:asciiTheme="minorHAnsi" w:hAnsiTheme="minorHAnsi" w:cstheme="minorHAnsi"/>
                <w:b/>
                <w:bCs/>
                <w:sz w:val="16"/>
                <w:szCs w:val="16"/>
                <w:highlight w:val="red"/>
              </w:rPr>
            </w:pPr>
            <w:r w:rsidRPr="00FF54DC">
              <w:rPr>
                <w:rFonts w:asciiTheme="minorHAnsi" w:hAnsiTheme="minorHAnsi" w:cstheme="minorHAnsi"/>
                <w:sz w:val="16"/>
                <w:szCs w:val="16"/>
              </w:rPr>
              <w:t>Durante el año 2025 como parte de las acciones de fortalecimiento de la “Red de Mujeres Productoras de Café y Cacao Libres de Deforestación” en el ámbito de intervención del proyecto se impulsaron acciones estratégicas orientadas a abordar las brechas de género desde un enfoque estructural, mediante la implementación del Programa de Liderazgo y Empoderamiento para lideresas productoras de café y cacao libres de deforestación. Esta intervención permitió fortalecer las capacidades de más de 100 mujeres productoras, pertenecientes a 33 organizaciones representativas del ecosistema productivo amazónico, promoviendo su participación activa y estratégica en los ámbitos productivo, organizacional, comunitario y familiar. A través de una articulación interinstitucional sólida con actores públicos y privados, se logró integrar de manera complementaria los enfoques de género, derechos, salud, producción sostenible y gobernanza territorial. En este marco, la coordinación con el Ministerio de la Mujer y Poblaciones Vulnerables fortaleció las capacidades de las lideresas en materia de derechos y prevención de la violencia basada en género; la articulación con Comisión Nacional para el Desarrollo y Vida sin Drogas (DEVIDA) contribuyó a consolidar buenas prácticas agrícolas en cosecha y post cosecha de café y cacao; mientras que el trabajo conjunto con APPCACAO, las Mesas Técnicas y las Plataformas de café y cacao impulsó la asociatividad, la gobernanza y la participación efectiva de las mujeres en espacios de toma de decisión. Asimismo, la coordinación con el Ministerio de Salud fortaleció la promoción de la seguridad alimentaria y de prácticas agrícolas responsables y seguras, en articulación con la iniciativa Campo Limpio. Este proceso permitió avanzar hacia un modelo de desarrollo productivo más inclusivo, sostenible y con mayor corresponsabilidad territorial.</w:t>
            </w:r>
          </w:p>
        </w:tc>
        <w:tc>
          <w:tcPr>
            <w:tcW w:w="6520" w:type="dxa"/>
            <w:gridSpan w:val="6"/>
            <w:tcBorders>
              <w:bottom w:val="single" w:sz="4" w:space="0" w:color="auto"/>
            </w:tcBorders>
            <w:vAlign w:val="center"/>
          </w:tcPr>
          <w:p w14:paraId="788DBF62" w14:textId="05728411" w:rsidR="003656FC" w:rsidRDefault="001A7B3B"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lastRenderedPageBreak/>
              <w:t xml:space="preserve"> </w:t>
            </w:r>
            <w:r w:rsidR="00F9525E" w:rsidRPr="00DE692F">
              <w:rPr>
                <w:rFonts w:asciiTheme="minorHAnsi" w:eastAsiaTheme="minorEastAsia" w:hAnsiTheme="minorHAnsi" w:cstheme="minorHAnsi"/>
                <w:sz w:val="16"/>
                <w:szCs w:val="16"/>
              </w:rPr>
              <w:t xml:space="preserve">La Actividad 4.1.3.2 (Informes anuales de monitoreo de las exportaciones de CLD) se encuentra pospuesta para el año 2026. Esta decisión responde a que </w:t>
            </w:r>
            <w:r>
              <w:rPr>
                <w:rFonts w:asciiTheme="minorHAnsi" w:eastAsiaTheme="minorEastAsia" w:hAnsiTheme="minorHAnsi" w:cstheme="minorHAnsi"/>
                <w:sz w:val="16"/>
                <w:szCs w:val="16"/>
              </w:rPr>
              <w:t xml:space="preserve">se requiere de un análisis previo para establecer el abordaje de estos informes. Preliminarmente, se considera que estos informes requieren de </w:t>
            </w:r>
            <w:r w:rsidR="00F9525E" w:rsidRPr="00DE692F">
              <w:rPr>
                <w:rFonts w:asciiTheme="minorHAnsi" w:eastAsiaTheme="minorEastAsia" w:hAnsiTheme="minorHAnsi" w:cstheme="minorHAnsi"/>
                <w:sz w:val="16"/>
                <w:szCs w:val="16"/>
              </w:rPr>
              <w:t xml:space="preserve">datos </w:t>
            </w:r>
            <w:r>
              <w:rPr>
                <w:rFonts w:asciiTheme="minorHAnsi" w:eastAsiaTheme="minorEastAsia" w:hAnsiTheme="minorHAnsi" w:cstheme="minorHAnsi"/>
                <w:sz w:val="16"/>
                <w:szCs w:val="16"/>
              </w:rPr>
              <w:t>sobre el</w:t>
            </w:r>
            <w:r w:rsidR="00F9525E" w:rsidRPr="00DE692F">
              <w:rPr>
                <w:rFonts w:asciiTheme="minorHAnsi" w:eastAsiaTheme="minorEastAsia" w:hAnsiTheme="minorHAnsi" w:cstheme="minorHAnsi"/>
                <w:sz w:val="16"/>
                <w:szCs w:val="16"/>
              </w:rPr>
              <w:t xml:space="preserve"> levantamiento de polígonos </w:t>
            </w:r>
            <w:r>
              <w:rPr>
                <w:rFonts w:asciiTheme="minorHAnsi" w:eastAsiaTheme="minorEastAsia" w:hAnsiTheme="minorHAnsi" w:cstheme="minorHAnsi"/>
                <w:sz w:val="16"/>
                <w:szCs w:val="16"/>
              </w:rPr>
              <w:t xml:space="preserve">que aún está </w:t>
            </w:r>
            <w:r w:rsidR="00F9525E" w:rsidRPr="00DE692F">
              <w:rPr>
                <w:rFonts w:asciiTheme="minorHAnsi" w:eastAsiaTheme="minorEastAsia" w:hAnsiTheme="minorHAnsi" w:cstheme="minorHAnsi"/>
                <w:sz w:val="16"/>
                <w:szCs w:val="16"/>
              </w:rPr>
              <w:t>en curso</w:t>
            </w:r>
            <w:r>
              <w:rPr>
                <w:rFonts w:asciiTheme="minorHAnsi" w:eastAsiaTheme="minorEastAsia" w:hAnsiTheme="minorHAnsi" w:cstheme="minorHAnsi"/>
                <w:sz w:val="16"/>
                <w:szCs w:val="16"/>
              </w:rPr>
              <w:t xml:space="preserve"> por parte de las organizaciones de productores y del MIDAGRI</w:t>
            </w:r>
            <w:r w:rsidR="00040142">
              <w:rPr>
                <w:rFonts w:asciiTheme="minorHAnsi" w:eastAsiaTheme="minorEastAsia" w:hAnsiTheme="minorHAnsi" w:cstheme="minorHAnsi"/>
                <w:sz w:val="16"/>
                <w:szCs w:val="16"/>
              </w:rPr>
              <w:t xml:space="preserve"> y que están orientados a cumplir con la normatividad d la EUDR. </w:t>
            </w:r>
            <w:r w:rsidR="00F9525E" w:rsidRPr="00DE692F">
              <w:rPr>
                <w:rFonts w:asciiTheme="minorHAnsi" w:eastAsiaTheme="minorEastAsia" w:hAnsiTheme="minorHAnsi" w:cstheme="minorHAnsi"/>
                <w:sz w:val="16"/>
                <w:szCs w:val="16"/>
              </w:rPr>
              <w:t>El monitoreo de exportaciones depende de información verificada que debe capturarse sistemáticamente en el año 2026 cuando se disponga de datos completos. Sin embargo, se han completado actividades prioritarias de articulación de mercado que sientan las bases para que los productores puedan participar efectivamente en mercados de CLD.</w:t>
            </w:r>
          </w:p>
          <w:p w14:paraId="45529D96" w14:textId="413252D9" w:rsidR="001A7B3B" w:rsidRDefault="001A7B3B" w:rsidP="003656FC">
            <w:pPr>
              <w:tabs>
                <w:tab w:val="left" w:pos="4680"/>
              </w:tabs>
              <w:rPr>
                <w:rFonts w:asciiTheme="minorHAnsi" w:hAnsiTheme="minorHAnsi" w:cstheme="minorHAnsi"/>
                <w:sz w:val="16"/>
                <w:szCs w:val="16"/>
              </w:rPr>
            </w:pPr>
            <w:r>
              <w:rPr>
                <w:rFonts w:asciiTheme="minorHAnsi" w:eastAsiaTheme="minorEastAsia" w:hAnsiTheme="minorHAnsi" w:cstheme="minorHAnsi"/>
                <w:sz w:val="16"/>
                <w:szCs w:val="16"/>
              </w:rPr>
              <w:t xml:space="preserve">Este indicador fue redefinido en diciembre 2024, a partir de ello, se iniciaron las coordinaciones para identificar las acciones que deberán realizarse contar con los 06 informes de monitoreo de las exportaciones. Al respecto, en consultas con el sector competente (MINCETUR), nos señalaron que sería necesario explorar opciones para estos informes ya que actualmente, es voluntario que </w:t>
            </w:r>
            <w:r>
              <w:rPr>
                <w:rFonts w:asciiTheme="minorHAnsi" w:eastAsiaTheme="minorEastAsia" w:hAnsiTheme="minorHAnsi" w:cstheme="minorHAnsi"/>
                <w:sz w:val="16"/>
                <w:szCs w:val="16"/>
              </w:rPr>
              <w:lastRenderedPageBreak/>
              <w:t xml:space="preserve">los exportadores señalen las características específicas de sus productos, por ejemplo, al momento de exportar la mayoría de </w:t>
            </w:r>
            <w:r w:rsidR="007D2124">
              <w:rPr>
                <w:rFonts w:asciiTheme="minorHAnsi" w:eastAsiaTheme="minorEastAsia" w:hAnsiTheme="minorHAnsi" w:cstheme="minorHAnsi"/>
                <w:sz w:val="16"/>
                <w:szCs w:val="16"/>
              </w:rPr>
              <w:t>las organizaciones</w:t>
            </w:r>
            <w:r>
              <w:rPr>
                <w:rFonts w:asciiTheme="minorHAnsi" w:eastAsiaTheme="minorEastAsia" w:hAnsiTheme="minorHAnsi" w:cstheme="minorHAnsi"/>
                <w:sz w:val="16"/>
                <w:szCs w:val="16"/>
              </w:rPr>
              <w:t xml:space="preserve"> o empresas no consignan si su producto es orgánico, del mismo modo sucede si el producto es libre de deforestación.</w:t>
            </w:r>
            <w:r w:rsidR="00841A3E" w:rsidRPr="00F932B2">
              <w:rPr>
                <w:rFonts w:asciiTheme="minorHAnsi" w:hAnsiTheme="minorHAnsi" w:cstheme="minorHAnsi"/>
                <w:sz w:val="16"/>
                <w:szCs w:val="16"/>
              </w:rPr>
              <w:t xml:space="preserve"> </w:t>
            </w:r>
          </w:p>
          <w:p w14:paraId="44781430" w14:textId="77777777" w:rsidR="00FF54DC" w:rsidRDefault="00FF54DC" w:rsidP="003656FC">
            <w:pPr>
              <w:tabs>
                <w:tab w:val="left" w:pos="4680"/>
              </w:tabs>
              <w:rPr>
                <w:rFonts w:asciiTheme="minorHAnsi" w:hAnsiTheme="minorHAnsi" w:cstheme="minorHAnsi"/>
                <w:sz w:val="16"/>
                <w:szCs w:val="16"/>
              </w:rPr>
            </w:pPr>
          </w:p>
          <w:p w14:paraId="412C9B88" w14:textId="77777777" w:rsidR="00FF54DC" w:rsidRDefault="00FF54DC" w:rsidP="003656FC">
            <w:pPr>
              <w:tabs>
                <w:tab w:val="left" w:pos="4680"/>
              </w:tabs>
              <w:rPr>
                <w:rFonts w:asciiTheme="minorHAnsi" w:hAnsiTheme="minorHAnsi" w:cstheme="minorHAnsi"/>
                <w:sz w:val="16"/>
                <w:szCs w:val="16"/>
              </w:rPr>
            </w:pPr>
          </w:p>
          <w:p w14:paraId="25C99444" w14:textId="77777777" w:rsidR="00FF54DC" w:rsidRDefault="00FF54DC" w:rsidP="003656FC">
            <w:pPr>
              <w:tabs>
                <w:tab w:val="left" w:pos="4680"/>
              </w:tabs>
              <w:rPr>
                <w:rFonts w:asciiTheme="minorHAnsi" w:hAnsiTheme="minorHAnsi" w:cstheme="minorHAnsi"/>
                <w:sz w:val="16"/>
                <w:szCs w:val="16"/>
              </w:rPr>
            </w:pPr>
          </w:p>
          <w:p w14:paraId="6EF32C58" w14:textId="4C70331C" w:rsidR="00FF54DC" w:rsidRPr="00DC1827" w:rsidRDefault="00FF54DC" w:rsidP="003656FC">
            <w:pPr>
              <w:tabs>
                <w:tab w:val="left" w:pos="4680"/>
              </w:tabs>
              <w:rPr>
                <w:rFonts w:asciiTheme="minorHAnsi" w:hAnsiTheme="minorHAnsi" w:cstheme="minorHAnsi"/>
                <w:sz w:val="16"/>
                <w:szCs w:val="16"/>
              </w:rPr>
            </w:pPr>
          </w:p>
        </w:tc>
      </w:tr>
      <w:tr w:rsidR="003656FC" w:rsidRPr="00DE692F" w14:paraId="68A8188F" w14:textId="77777777" w:rsidTr="005B7DD9">
        <w:trPr>
          <w:trHeight w:val="450"/>
        </w:trPr>
        <w:tc>
          <w:tcPr>
            <w:tcW w:w="11482" w:type="dxa"/>
            <w:gridSpan w:val="9"/>
            <w:tcBorders>
              <w:bottom w:val="single" w:sz="4" w:space="0" w:color="auto"/>
            </w:tcBorders>
            <w:shd w:val="clear" w:color="auto" w:fill="D0CECE" w:themeFill="background2" w:themeFillShade="E6"/>
            <w:vAlign w:val="center"/>
          </w:tcPr>
          <w:p w14:paraId="0895403F" w14:textId="6787593D"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Componente 4:  </w:t>
            </w:r>
            <w:r w:rsidRPr="00DE692F">
              <w:rPr>
                <w:rFonts w:asciiTheme="minorHAnsi" w:eastAsiaTheme="minorEastAsia" w:hAnsiTheme="minorHAnsi" w:cstheme="minorHAnsi"/>
                <w:sz w:val="16"/>
                <w:szCs w:val="16"/>
              </w:rPr>
              <w:t>Coordinación, M&amp;E y Gestión del Conocimiento (GdC)</w:t>
            </w:r>
          </w:p>
          <w:p w14:paraId="60CE6290" w14:textId="78116CB3" w:rsidR="003656FC" w:rsidRPr="00DE692F" w:rsidRDefault="003656FC" w:rsidP="003656FC">
            <w:pPr>
              <w:tabs>
                <w:tab w:val="left" w:pos="4680"/>
              </w:tabs>
              <w:ind w:right="645"/>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xml:space="preserve">Resultado 8:  </w:t>
            </w:r>
            <w:r w:rsidRPr="00DE692F">
              <w:rPr>
                <w:rFonts w:asciiTheme="minorHAnsi" w:eastAsiaTheme="minorEastAsia" w:hAnsiTheme="minorHAnsi" w:cstheme="minorHAnsi"/>
                <w:sz w:val="16"/>
                <w:szCs w:val="16"/>
              </w:rPr>
              <w:t>El empoderamiento con equilibrio de género y los tomadores de decisiones informados mejoran la gobernanza de los CLD en las instituciones locales, regionales y nacionales y en los actores de la cadena de suministro.</w:t>
            </w:r>
          </w:p>
        </w:tc>
      </w:tr>
      <w:tr w:rsidR="003656FC" w:rsidRPr="00DE692F" w14:paraId="2D3AC5EA" w14:textId="77777777" w:rsidTr="005B7DD9">
        <w:trPr>
          <w:trHeight w:val="1190"/>
        </w:trPr>
        <w:tc>
          <w:tcPr>
            <w:tcW w:w="1702" w:type="dxa"/>
            <w:tcBorders>
              <w:bottom w:val="single" w:sz="4" w:space="0" w:color="auto"/>
            </w:tcBorders>
            <w:shd w:val="clear" w:color="auto" w:fill="D0CECE" w:themeFill="background2" w:themeFillShade="E6"/>
            <w:vAlign w:val="center"/>
          </w:tcPr>
          <w:p w14:paraId="4C0149AF" w14:textId="17ED2052"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lastRenderedPageBreak/>
              <w:t>Producto 4.2.1</w:t>
            </w:r>
          </w:p>
        </w:tc>
        <w:tc>
          <w:tcPr>
            <w:tcW w:w="2400" w:type="dxa"/>
            <w:tcBorders>
              <w:bottom w:val="single" w:sz="4" w:space="0" w:color="auto"/>
            </w:tcBorders>
            <w:shd w:val="clear" w:color="auto" w:fill="D0CECE" w:themeFill="background2" w:themeFillShade="E6"/>
            <w:vAlign w:val="center"/>
          </w:tcPr>
          <w:p w14:paraId="687499B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5C38E0FC" w14:textId="1ED333B5" w:rsidR="003656FC" w:rsidRPr="00DE692F" w:rsidRDefault="00D149D9"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656F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0D1BFA8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567558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6849DEC2"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74F39ED3"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121098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2B764F4A"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74CC90E9"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66E04256"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445DDBA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5FC03330"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6B78A80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0ED219F7"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7F36270E" w14:textId="77777777" w:rsidTr="005B7DD9">
        <w:trPr>
          <w:trHeight w:val="688"/>
        </w:trPr>
        <w:tc>
          <w:tcPr>
            <w:tcW w:w="1702" w:type="dxa"/>
            <w:vAlign w:val="center"/>
          </w:tcPr>
          <w:p w14:paraId="42C769CA" w14:textId="54037BBC" w:rsidR="003656FC" w:rsidRPr="003608E2" w:rsidRDefault="003656FC" w:rsidP="003656FC">
            <w:pPr>
              <w:tabs>
                <w:tab w:val="left" w:pos="4680"/>
              </w:tabs>
              <w:jc w:val="left"/>
              <w:rPr>
                <w:rFonts w:asciiTheme="minorHAnsi" w:eastAsiaTheme="minorEastAsia" w:hAnsiTheme="minorHAnsi" w:cstheme="minorHAnsi"/>
                <w:sz w:val="16"/>
                <w:szCs w:val="16"/>
                <w:highlight w:val="red"/>
              </w:rPr>
            </w:pPr>
            <w:r w:rsidRPr="00D149D9">
              <w:rPr>
                <w:rFonts w:asciiTheme="minorHAnsi" w:eastAsiaTheme="minorEastAsia" w:hAnsiTheme="minorHAnsi" w:cstheme="minorHAnsi"/>
                <w:sz w:val="16"/>
                <w:szCs w:val="16"/>
              </w:rPr>
              <w:t>Un sistema integral de M&amp;E, que incluye múltiples procedimientos y protocolos, facilita la réplica de los componentes del proyecto para aumentar su impacto. Los informes de monitoreo, evaluación y retroalimentación (ME&amp;R) son utilizados para actualizar las estrategias y planes de acción del proyecto en colaboración con las partes interesadas públicas y privadas</w:t>
            </w:r>
          </w:p>
        </w:tc>
        <w:tc>
          <w:tcPr>
            <w:tcW w:w="2400" w:type="dxa"/>
            <w:vAlign w:val="center"/>
          </w:tcPr>
          <w:p w14:paraId="773244AB" w14:textId="4581B8DF" w:rsidR="003656FC" w:rsidRPr="003608E2" w:rsidRDefault="00D90797" w:rsidP="003656FC">
            <w:pPr>
              <w:tabs>
                <w:tab w:val="left" w:pos="4680"/>
              </w:tabs>
              <w:jc w:val="center"/>
              <w:rPr>
                <w:rFonts w:asciiTheme="minorHAnsi" w:eastAsiaTheme="minorEastAsia" w:hAnsiTheme="minorHAnsi" w:cstheme="minorHAnsi"/>
                <w:sz w:val="16"/>
                <w:szCs w:val="16"/>
                <w:highlight w:val="red"/>
              </w:rPr>
            </w:pPr>
            <w:r>
              <w:rPr>
                <w:rFonts w:asciiTheme="minorHAnsi" w:eastAsiaTheme="minorEastAsia" w:hAnsiTheme="minorHAnsi" w:cstheme="minorHAnsi"/>
                <w:sz w:val="16"/>
                <w:szCs w:val="16"/>
              </w:rPr>
              <w:t>-</w:t>
            </w:r>
          </w:p>
        </w:tc>
        <w:tc>
          <w:tcPr>
            <w:tcW w:w="860" w:type="dxa"/>
            <w:vAlign w:val="center"/>
          </w:tcPr>
          <w:p w14:paraId="5E814F9A" w14:textId="4383E6D9" w:rsidR="003656FC" w:rsidRPr="00D149D9" w:rsidRDefault="003656FC" w:rsidP="003656FC">
            <w:pPr>
              <w:tabs>
                <w:tab w:val="left" w:pos="4680"/>
              </w:tabs>
              <w:jc w:val="center"/>
              <w:rPr>
                <w:rFonts w:asciiTheme="minorHAnsi" w:eastAsiaTheme="minorEastAsia" w:hAnsiTheme="minorHAnsi" w:cstheme="minorHAnsi"/>
                <w:sz w:val="16"/>
                <w:szCs w:val="16"/>
              </w:rPr>
            </w:pPr>
            <w:r w:rsidRPr="00D149D9">
              <w:rPr>
                <w:rFonts w:asciiTheme="minorHAnsi" w:eastAsiaTheme="minorEastAsia" w:hAnsiTheme="minorHAnsi" w:cstheme="minorHAnsi"/>
                <w:sz w:val="16"/>
                <w:szCs w:val="16"/>
              </w:rPr>
              <w:t>0</w:t>
            </w:r>
          </w:p>
        </w:tc>
        <w:tc>
          <w:tcPr>
            <w:tcW w:w="992" w:type="dxa"/>
            <w:vAlign w:val="center"/>
          </w:tcPr>
          <w:p w14:paraId="21D7ADF9" w14:textId="273D398A" w:rsidR="003656FC" w:rsidRPr="00D149D9"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851" w:type="dxa"/>
            <w:vAlign w:val="center"/>
          </w:tcPr>
          <w:p w14:paraId="6A39F9EE" w14:textId="74442B2B" w:rsidR="003656FC" w:rsidRPr="00D149D9"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021" w:type="dxa"/>
            <w:vAlign w:val="center"/>
          </w:tcPr>
          <w:p w14:paraId="4D35FC72" w14:textId="7A525704" w:rsidR="003656FC" w:rsidRPr="00D149D9" w:rsidRDefault="00D90797"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147" w:type="dxa"/>
            <w:vAlign w:val="center"/>
          </w:tcPr>
          <w:p w14:paraId="2B228B37" w14:textId="633D4EC5" w:rsidR="003656FC" w:rsidRPr="00D149D9"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34" w:type="dxa"/>
            <w:vAlign w:val="center"/>
          </w:tcPr>
          <w:p w14:paraId="674382BD" w14:textId="25C5CC43" w:rsidR="003656FC" w:rsidRPr="00D149D9" w:rsidRDefault="00D149D9" w:rsidP="003656FC">
            <w:pPr>
              <w:tabs>
                <w:tab w:val="left" w:pos="4680"/>
              </w:tabs>
              <w:jc w:val="center"/>
              <w:rPr>
                <w:rFonts w:asciiTheme="minorHAnsi" w:eastAsiaTheme="minorEastAsia" w:hAnsiTheme="minorHAnsi" w:cstheme="minorHAnsi"/>
                <w:sz w:val="16"/>
                <w:szCs w:val="16"/>
              </w:rPr>
            </w:pPr>
            <w:r>
              <w:rPr>
                <w:rFonts w:asciiTheme="minorHAnsi" w:eastAsiaTheme="minorEastAsia" w:hAnsiTheme="minorHAnsi" w:cstheme="minorHAnsi"/>
                <w:sz w:val="16"/>
                <w:szCs w:val="16"/>
              </w:rPr>
              <w:t>0</w:t>
            </w:r>
          </w:p>
        </w:tc>
        <w:tc>
          <w:tcPr>
            <w:tcW w:w="1275" w:type="dxa"/>
            <w:vAlign w:val="center"/>
          </w:tcPr>
          <w:p w14:paraId="23FB6A9F" w14:textId="45569017" w:rsidR="003656FC" w:rsidRPr="00D149D9" w:rsidRDefault="00C57821" w:rsidP="00D149D9">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25</w:t>
            </w:r>
            <w:r>
              <w:rPr>
                <w:rStyle w:val="Refdenotaalpie"/>
                <w:rFonts w:eastAsiaTheme="minorEastAsia" w:cstheme="minorHAnsi"/>
                <w:szCs w:val="16"/>
              </w:rPr>
              <w:footnoteReference w:id="33"/>
            </w:r>
            <w:r w:rsidR="003656FC" w:rsidRPr="00D149D9">
              <w:rPr>
                <w:rFonts w:asciiTheme="minorHAnsi" w:eastAsiaTheme="minorEastAsia" w:hAnsiTheme="minorHAnsi" w:cstheme="minorHAnsi"/>
                <w:sz w:val="16"/>
                <w:szCs w:val="16"/>
              </w:rPr>
              <w:t>%</w:t>
            </w:r>
          </w:p>
        </w:tc>
      </w:tr>
      <w:tr w:rsidR="003656FC" w:rsidRPr="00DE692F" w14:paraId="230F7741" w14:textId="77777777" w:rsidTr="005B7DD9">
        <w:trPr>
          <w:trHeight w:val="176"/>
        </w:trPr>
        <w:tc>
          <w:tcPr>
            <w:tcW w:w="11482" w:type="dxa"/>
            <w:gridSpan w:val="9"/>
            <w:shd w:val="clear" w:color="auto" w:fill="D0CECE" w:themeFill="background2" w:themeFillShade="E6"/>
            <w:vAlign w:val="center"/>
          </w:tcPr>
          <w:p w14:paraId="5B85475C"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249D533E" w14:textId="77777777" w:rsidTr="005B7DD9">
        <w:trPr>
          <w:trHeight w:val="294"/>
        </w:trPr>
        <w:tc>
          <w:tcPr>
            <w:tcW w:w="1702" w:type="dxa"/>
            <w:vAlign w:val="center"/>
          </w:tcPr>
          <w:p w14:paraId="235EC27F" w14:textId="5B6BEDA8"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4.2.1.2</w:t>
            </w:r>
          </w:p>
        </w:tc>
        <w:tc>
          <w:tcPr>
            <w:tcW w:w="9780" w:type="dxa"/>
            <w:gridSpan w:val="8"/>
            <w:vAlign w:val="center"/>
          </w:tcPr>
          <w:p w14:paraId="0558395D" w14:textId="33EF368B"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protocolos de monitoreo, evaluación y retroalimentación alineados con los resultados, el Informe de implementación del proyecto de FMAM (PIR) del Proyecto, la evaluación independiente de medio término (EMT), el procedimiento de Diagnóstico Social y Ambiental (SESP), el Plan de acción de género y la participación de las partes interesadas</w:t>
            </w:r>
          </w:p>
        </w:tc>
      </w:tr>
      <w:tr w:rsidR="003656FC" w:rsidRPr="00DE692F" w14:paraId="00744F54" w14:textId="77777777" w:rsidTr="005B7DD9">
        <w:trPr>
          <w:trHeight w:val="256"/>
        </w:trPr>
        <w:tc>
          <w:tcPr>
            <w:tcW w:w="1702" w:type="dxa"/>
            <w:vAlign w:val="center"/>
          </w:tcPr>
          <w:p w14:paraId="428F3CAD" w14:textId="6602DAE6"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4.2.1.3</w:t>
            </w:r>
          </w:p>
        </w:tc>
        <w:tc>
          <w:tcPr>
            <w:tcW w:w="9780" w:type="dxa"/>
            <w:gridSpan w:val="8"/>
            <w:vAlign w:val="center"/>
          </w:tcPr>
          <w:p w14:paraId="0C1799CF" w14:textId="1101E8F2"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Elaboración y actualización de las estrategias y planes de trabajo del proyecto en colaboración con las partes interesadas públicas y privadas</w:t>
            </w:r>
          </w:p>
        </w:tc>
      </w:tr>
      <w:tr w:rsidR="003656FC" w:rsidRPr="00DE692F" w14:paraId="041393B9" w14:textId="77777777" w:rsidTr="005B7DD9">
        <w:trPr>
          <w:trHeight w:val="688"/>
        </w:trPr>
        <w:tc>
          <w:tcPr>
            <w:tcW w:w="4962" w:type="dxa"/>
            <w:gridSpan w:val="3"/>
            <w:tcBorders>
              <w:bottom w:val="single" w:sz="4" w:space="0" w:color="auto"/>
            </w:tcBorders>
            <w:vAlign w:val="center"/>
          </w:tcPr>
          <w:p w14:paraId="5A707089" w14:textId="77777777" w:rsidR="003656FC" w:rsidRPr="00DE692F" w:rsidRDefault="003656FC" w:rsidP="003656FC">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4C31B849" w14:textId="3EB6AA54" w:rsidR="003656FC" w:rsidRPr="00DE692F" w:rsidRDefault="003656FC"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Reporte del PIR</w:t>
            </w:r>
            <w:r w:rsidR="00D63F24">
              <w:rPr>
                <w:rFonts w:asciiTheme="minorHAnsi" w:hAnsiTheme="minorHAnsi" w:cstheme="minorHAnsi"/>
                <w:sz w:val="16"/>
                <w:szCs w:val="16"/>
              </w:rPr>
              <w:t xml:space="preserve"> </w:t>
            </w:r>
            <w:r w:rsidR="00F21EC3">
              <w:rPr>
                <w:rFonts w:asciiTheme="minorHAnsi" w:hAnsiTheme="minorHAnsi" w:cstheme="minorHAnsi"/>
                <w:sz w:val="16"/>
                <w:szCs w:val="16"/>
              </w:rPr>
              <w:t>2</w:t>
            </w:r>
            <w:r w:rsidR="00F21EC3" w:rsidRPr="00F21EC3">
              <w:rPr>
                <w:rFonts w:asciiTheme="minorHAnsi" w:hAnsiTheme="minorHAnsi" w:cstheme="minorHAnsi"/>
                <w:color w:val="FF0000"/>
                <w:sz w:val="16"/>
                <w:szCs w:val="16"/>
              </w:rPr>
              <w:t xml:space="preserve">024 y </w:t>
            </w:r>
            <w:r w:rsidR="00D63F24" w:rsidRPr="00F21EC3">
              <w:rPr>
                <w:rFonts w:asciiTheme="minorHAnsi" w:hAnsiTheme="minorHAnsi" w:cstheme="minorHAnsi"/>
                <w:color w:val="FF0000"/>
                <w:sz w:val="16"/>
                <w:szCs w:val="16"/>
              </w:rPr>
              <w:t>2025.</w:t>
            </w:r>
          </w:p>
          <w:p w14:paraId="171FC5C8" w14:textId="2DFB92AA" w:rsidR="003656FC" w:rsidRPr="00DE692F" w:rsidRDefault="003656FC"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POA 2025 aprobado</w:t>
            </w:r>
            <w:r w:rsidR="00D149D9">
              <w:rPr>
                <w:rFonts w:asciiTheme="minorHAnsi" w:hAnsiTheme="minorHAnsi" w:cstheme="minorHAnsi"/>
                <w:sz w:val="16"/>
                <w:szCs w:val="16"/>
              </w:rPr>
              <w:t xml:space="preserve">, en la junta de proyecto, de manera previa se mantuvieron reuniones y se elaboraron planes de trabajo específicos para facilitar su aprobación. </w:t>
            </w:r>
          </w:p>
          <w:p w14:paraId="4A155291" w14:textId="77777777" w:rsidR="003656FC" w:rsidRDefault="003656FC"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POA 2026 en elaboración</w:t>
            </w:r>
            <w:r w:rsidR="00D149D9">
              <w:rPr>
                <w:rFonts w:asciiTheme="minorHAnsi" w:hAnsiTheme="minorHAnsi" w:cstheme="minorHAnsi"/>
                <w:sz w:val="16"/>
                <w:szCs w:val="16"/>
              </w:rPr>
              <w:t>, para la construcción del POA, se mantuvieron reuniones bilaterales con los diferentes actores, y se realizaron acciones para conformar el comité consultivo del proyecto, a fines de diciembre se logró la conformación del grupo de trabajo de PPII quienes acordaron representantes para el comité consultivo. Se planificó la conformación del comité consultivo para el mes de enero 2026, a fin de que brinden aportes al Plan de trabajo 2026.</w:t>
            </w:r>
          </w:p>
          <w:p w14:paraId="2234122B" w14:textId="7BB06DB4" w:rsidR="00676954" w:rsidRPr="00DE692F" w:rsidRDefault="00676954" w:rsidP="003656FC">
            <w:pPr>
              <w:tabs>
                <w:tab w:val="left" w:pos="4680"/>
              </w:tabs>
              <w:rPr>
                <w:rFonts w:asciiTheme="minorHAnsi" w:hAnsiTheme="minorHAnsi" w:cstheme="minorHAnsi"/>
                <w:sz w:val="16"/>
                <w:szCs w:val="16"/>
              </w:rPr>
            </w:pPr>
            <w:r w:rsidRPr="00676954">
              <w:rPr>
                <w:rFonts w:asciiTheme="minorHAnsi" w:hAnsiTheme="minorHAnsi" w:cstheme="minorHAnsi"/>
                <w:color w:val="FF0000"/>
                <w:sz w:val="16"/>
                <w:szCs w:val="16"/>
              </w:rPr>
              <w:t>Se hace seguimiento de las actividades referidas a salvaguardas sociales y de género con la participación de dos especialistas específicas para cada tema.</w:t>
            </w:r>
          </w:p>
        </w:tc>
        <w:tc>
          <w:tcPr>
            <w:tcW w:w="6520" w:type="dxa"/>
            <w:gridSpan w:val="6"/>
            <w:tcBorders>
              <w:bottom w:val="single" w:sz="4" w:space="0" w:color="auto"/>
            </w:tcBorders>
            <w:vAlign w:val="center"/>
          </w:tcPr>
          <w:p w14:paraId="4C9E65B9" w14:textId="77777777" w:rsidR="00D149D9" w:rsidRDefault="00D149D9" w:rsidP="003656FC">
            <w:pPr>
              <w:tabs>
                <w:tab w:val="left" w:pos="4680"/>
              </w:tabs>
              <w:rPr>
                <w:rFonts w:asciiTheme="minorHAnsi" w:hAnsiTheme="minorHAnsi" w:cstheme="minorHAnsi"/>
                <w:sz w:val="16"/>
                <w:szCs w:val="16"/>
              </w:rPr>
            </w:pPr>
          </w:p>
          <w:p w14:paraId="42A9B863" w14:textId="1ADB7E76" w:rsidR="00D149D9" w:rsidRPr="00DE692F" w:rsidRDefault="00D149D9" w:rsidP="003656FC">
            <w:pPr>
              <w:tabs>
                <w:tab w:val="left" w:pos="4680"/>
              </w:tabs>
              <w:rPr>
                <w:rFonts w:asciiTheme="minorHAnsi" w:hAnsiTheme="minorHAnsi" w:cstheme="minorHAnsi"/>
                <w:sz w:val="16"/>
                <w:szCs w:val="16"/>
              </w:rPr>
            </w:pPr>
          </w:p>
        </w:tc>
      </w:tr>
      <w:tr w:rsidR="003656FC" w:rsidRPr="00DE692F" w14:paraId="5684AE68" w14:textId="77777777" w:rsidTr="005B7DD9">
        <w:trPr>
          <w:trHeight w:val="1190"/>
        </w:trPr>
        <w:tc>
          <w:tcPr>
            <w:tcW w:w="1702" w:type="dxa"/>
            <w:tcBorders>
              <w:bottom w:val="single" w:sz="4" w:space="0" w:color="auto"/>
            </w:tcBorders>
            <w:shd w:val="clear" w:color="auto" w:fill="D0CECE" w:themeFill="background2" w:themeFillShade="E6"/>
            <w:vAlign w:val="center"/>
          </w:tcPr>
          <w:p w14:paraId="7E16C6F1" w14:textId="7DD41CDC"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Producto 4.2.2</w:t>
            </w:r>
          </w:p>
        </w:tc>
        <w:tc>
          <w:tcPr>
            <w:tcW w:w="2400" w:type="dxa"/>
            <w:tcBorders>
              <w:bottom w:val="single" w:sz="4" w:space="0" w:color="auto"/>
            </w:tcBorders>
            <w:shd w:val="clear" w:color="auto" w:fill="D0CECE" w:themeFill="background2" w:themeFillShade="E6"/>
            <w:vAlign w:val="center"/>
          </w:tcPr>
          <w:p w14:paraId="4ADB083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Indicador</w:t>
            </w:r>
          </w:p>
        </w:tc>
        <w:tc>
          <w:tcPr>
            <w:tcW w:w="860" w:type="dxa"/>
            <w:tcBorders>
              <w:bottom w:val="single" w:sz="4" w:space="0" w:color="auto"/>
            </w:tcBorders>
            <w:shd w:val="clear" w:color="auto" w:fill="D0CECE" w:themeFill="background2" w:themeFillShade="E6"/>
            <w:vAlign w:val="center"/>
          </w:tcPr>
          <w:p w14:paraId="4FD7A2DD" w14:textId="760DEB68" w:rsidR="003656FC" w:rsidRPr="00DE692F" w:rsidRDefault="005143A4"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Línea</w:t>
            </w:r>
            <w:r w:rsidR="003656FC" w:rsidRPr="00DE692F">
              <w:rPr>
                <w:rFonts w:asciiTheme="minorHAnsi" w:eastAsiaTheme="minorEastAsia" w:hAnsiTheme="minorHAnsi" w:cstheme="minorHAnsi"/>
                <w:b/>
                <w:bCs/>
                <w:sz w:val="16"/>
                <w:szCs w:val="16"/>
              </w:rPr>
              <w:t xml:space="preserve"> de Base</w:t>
            </w:r>
          </w:p>
        </w:tc>
        <w:tc>
          <w:tcPr>
            <w:tcW w:w="992" w:type="dxa"/>
            <w:tcBorders>
              <w:bottom w:val="single" w:sz="4" w:space="0" w:color="auto"/>
            </w:tcBorders>
            <w:shd w:val="clear" w:color="auto" w:fill="D0CECE" w:themeFill="background2" w:themeFillShade="E6"/>
            <w:vAlign w:val="center"/>
          </w:tcPr>
          <w:p w14:paraId="1E8FD38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0EB384D8"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Anual</w:t>
            </w:r>
          </w:p>
        </w:tc>
        <w:tc>
          <w:tcPr>
            <w:tcW w:w="851" w:type="dxa"/>
            <w:tcBorders>
              <w:bottom w:val="single" w:sz="4" w:space="0" w:color="auto"/>
            </w:tcBorders>
            <w:shd w:val="clear" w:color="auto" w:fill="D0CECE" w:themeFill="background2" w:themeFillShade="E6"/>
            <w:vAlign w:val="center"/>
          </w:tcPr>
          <w:p w14:paraId="17FC03ED"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Meta Anual</w:t>
            </w:r>
          </w:p>
        </w:tc>
        <w:tc>
          <w:tcPr>
            <w:tcW w:w="1021" w:type="dxa"/>
            <w:tcBorders>
              <w:bottom w:val="single" w:sz="4" w:space="0" w:color="auto"/>
            </w:tcBorders>
            <w:shd w:val="clear" w:color="auto" w:fill="D0CECE" w:themeFill="background2" w:themeFillShade="E6"/>
            <w:vAlign w:val="center"/>
          </w:tcPr>
          <w:p w14:paraId="3A2F4A14"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w:t>
            </w:r>
          </w:p>
          <w:p w14:paraId="4339B6D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Final</w:t>
            </w:r>
          </w:p>
          <w:p w14:paraId="1827F3D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w:t>
            </w:r>
          </w:p>
        </w:tc>
        <w:tc>
          <w:tcPr>
            <w:tcW w:w="1147" w:type="dxa"/>
            <w:tcBorders>
              <w:bottom w:val="single" w:sz="4" w:space="0" w:color="auto"/>
            </w:tcBorders>
            <w:shd w:val="clear" w:color="auto" w:fill="D0CECE" w:themeFill="background2" w:themeFillShade="E6"/>
            <w:vAlign w:val="center"/>
          </w:tcPr>
          <w:p w14:paraId="4FC2D04E"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Avance Acumulado</w:t>
            </w:r>
          </w:p>
          <w:p w14:paraId="7FBE1F9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Meta Final (B)</w:t>
            </w:r>
          </w:p>
        </w:tc>
        <w:tc>
          <w:tcPr>
            <w:tcW w:w="1234" w:type="dxa"/>
            <w:tcBorders>
              <w:bottom w:val="single" w:sz="4" w:space="0" w:color="auto"/>
            </w:tcBorders>
            <w:shd w:val="clear" w:color="auto" w:fill="D0CECE" w:themeFill="background2" w:themeFillShade="E6"/>
            <w:vAlign w:val="center"/>
          </w:tcPr>
          <w:p w14:paraId="3BCDF8B5"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w:t>
            </w:r>
          </w:p>
          <w:p w14:paraId="67CB1B7B"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(B/A*100)</w:t>
            </w:r>
          </w:p>
          <w:p w14:paraId="75EA34D1" w14:textId="77777777" w:rsidR="003656FC" w:rsidRPr="00DE692F" w:rsidRDefault="003656FC" w:rsidP="003656FC">
            <w:pPr>
              <w:tabs>
                <w:tab w:val="left" w:pos="4680"/>
              </w:tabs>
              <w:jc w:val="center"/>
              <w:rPr>
                <w:rFonts w:asciiTheme="minorHAnsi" w:eastAsiaTheme="minorEastAsia" w:hAnsiTheme="minorHAnsi" w:cstheme="minorHAnsi"/>
                <w:b/>
                <w:bCs/>
                <w:sz w:val="16"/>
                <w:szCs w:val="16"/>
              </w:rPr>
            </w:pPr>
          </w:p>
        </w:tc>
        <w:tc>
          <w:tcPr>
            <w:tcW w:w="1275" w:type="dxa"/>
            <w:tcBorders>
              <w:bottom w:val="single" w:sz="4" w:space="0" w:color="auto"/>
            </w:tcBorders>
            <w:shd w:val="clear" w:color="auto" w:fill="D0CECE" w:themeFill="background2" w:themeFillShade="E6"/>
            <w:vAlign w:val="center"/>
          </w:tcPr>
          <w:p w14:paraId="34F92EC9" w14:textId="77777777" w:rsidR="003656FC" w:rsidRPr="00DE692F" w:rsidRDefault="003656FC" w:rsidP="003656FC">
            <w:pPr>
              <w:tabs>
                <w:tab w:val="left" w:pos="4680"/>
              </w:tabs>
              <w:ind w:right="29"/>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 Avance del proceso</w:t>
            </w:r>
          </w:p>
        </w:tc>
      </w:tr>
      <w:tr w:rsidR="003656FC" w:rsidRPr="00DE692F" w14:paraId="7675C108" w14:textId="77777777" w:rsidTr="005B7DD9">
        <w:trPr>
          <w:trHeight w:val="688"/>
        </w:trPr>
        <w:tc>
          <w:tcPr>
            <w:tcW w:w="1702" w:type="dxa"/>
            <w:vAlign w:val="center"/>
          </w:tcPr>
          <w:p w14:paraId="3B23C05F" w14:textId="2645215A" w:rsidR="003656FC" w:rsidRPr="00DE692F" w:rsidRDefault="003656FC" w:rsidP="003656FC">
            <w:pPr>
              <w:tabs>
                <w:tab w:val="left" w:pos="4680"/>
              </w:tabs>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lastRenderedPageBreak/>
              <w:t>Partes interesadas del proyecto son conscientes de las soluciones propuestas por el proyecto</w:t>
            </w:r>
          </w:p>
        </w:tc>
        <w:tc>
          <w:tcPr>
            <w:tcW w:w="2400" w:type="dxa"/>
            <w:vAlign w:val="center"/>
          </w:tcPr>
          <w:p w14:paraId="6597C843" w14:textId="7B47B07C"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Número de personas conscientes de las soluciones propuestas por el proyecto, usándolas para mejorar prácticas en la cadena de valor y para la toma de decisiones informadas</w:t>
            </w:r>
          </w:p>
        </w:tc>
        <w:tc>
          <w:tcPr>
            <w:tcW w:w="860" w:type="dxa"/>
            <w:vAlign w:val="center"/>
          </w:tcPr>
          <w:p w14:paraId="0AEAA4AF" w14:textId="517BF69A"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Se medirá</w:t>
            </w:r>
          </w:p>
        </w:tc>
        <w:tc>
          <w:tcPr>
            <w:tcW w:w="992" w:type="dxa"/>
            <w:vAlign w:val="center"/>
          </w:tcPr>
          <w:p w14:paraId="66BC8817" w14:textId="702B26CC"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851" w:type="dxa"/>
            <w:vAlign w:val="center"/>
          </w:tcPr>
          <w:p w14:paraId="69BDD53C" w14:textId="1BB04498"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021" w:type="dxa"/>
            <w:vAlign w:val="center"/>
          </w:tcPr>
          <w:p w14:paraId="32AA5ACE" w14:textId="4D776442"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50%</w:t>
            </w:r>
            <w:r w:rsidR="005143A4">
              <w:rPr>
                <w:rFonts w:asciiTheme="minorHAnsi" w:eastAsiaTheme="minorEastAsia" w:hAnsiTheme="minorHAnsi" w:cstheme="minorHAnsi"/>
                <w:sz w:val="16"/>
                <w:szCs w:val="16"/>
              </w:rPr>
              <w:t xml:space="preserve"> de los beneficiarios</w:t>
            </w:r>
          </w:p>
        </w:tc>
        <w:tc>
          <w:tcPr>
            <w:tcW w:w="1147" w:type="dxa"/>
            <w:vAlign w:val="center"/>
          </w:tcPr>
          <w:p w14:paraId="4C6A5BEA" w14:textId="630F495F"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34" w:type="dxa"/>
            <w:vAlign w:val="center"/>
          </w:tcPr>
          <w:p w14:paraId="2754FA00" w14:textId="5C7EA311"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c>
          <w:tcPr>
            <w:tcW w:w="1275" w:type="dxa"/>
            <w:vAlign w:val="center"/>
          </w:tcPr>
          <w:p w14:paraId="02078B40" w14:textId="00E30727" w:rsidR="003656FC" w:rsidRPr="00DE692F" w:rsidRDefault="003656FC" w:rsidP="003656FC">
            <w:pPr>
              <w:tabs>
                <w:tab w:val="left" w:pos="4680"/>
              </w:tabs>
              <w:jc w:val="center"/>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0%</w:t>
            </w:r>
          </w:p>
        </w:tc>
      </w:tr>
      <w:tr w:rsidR="003656FC" w:rsidRPr="00DE692F" w14:paraId="7A1C5DAC" w14:textId="77777777" w:rsidTr="005B7DD9">
        <w:trPr>
          <w:trHeight w:val="176"/>
        </w:trPr>
        <w:tc>
          <w:tcPr>
            <w:tcW w:w="11482" w:type="dxa"/>
            <w:gridSpan w:val="9"/>
            <w:shd w:val="clear" w:color="auto" w:fill="D0CECE" w:themeFill="background2" w:themeFillShade="E6"/>
            <w:vAlign w:val="center"/>
          </w:tcPr>
          <w:p w14:paraId="1E7B4540" w14:textId="77777777" w:rsidR="003656FC" w:rsidRPr="00DE692F" w:rsidRDefault="003656FC" w:rsidP="003656FC">
            <w:pPr>
              <w:tabs>
                <w:tab w:val="left" w:pos="4680"/>
              </w:tabs>
              <w:ind w:right="645"/>
              <w:jc w:val="center"/>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Actividades</w:t>
            </w:r>
          </w:p>
        </w:tc>
      </w:tr>
      <w:tr w:rsidR="003656FC" w:rsidRPr="00DE692F" w14:paraId="08727B82" w14:textId="77777777" w:rsidTr="005B7DD9">
        <w:trPr>
          <w:trHeight w:val="294"/>
        </w:trPr>
        <w:tc>
          <w:tcPr>
            <w:tcW w:w="1702" w:type="dxa"/>
            <w:vAlign w:val="center"/>
          </w:tcPr>
          <w:p w14:paraId="2D427CE2" w14:textId="1B0E21CE"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4.2.2.1</w:t>
            </w:r>
          </w:p>
        </w:tc>
        <w:tc>
          <w:tcPr>
            <w:tcW w:w="9780" w:type="dxa"/>
            <w:gridSpan w:val="8"/>
            <w:vAlign w:val="center"/>
          </w:tcPr>
          <w:p w14:paraId="6ABDA511" w14:textId="6ED0E05D"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Diseño de la metodología y herramienta/s (encuesta/s) para medir el número de personas conscientes de las soluciones propuestas por el proyecto, usándolas para mejorar prácticas en la cadena de valor y para la toma de decisiones informadas</w:t>
            </w:r>
          </w:p>
        </w:tc>
      </w:tr>
      <w:tr w:rsidR="003656FC" w:rsidRPr="00DE692F" w14:paraId="02DCA16E" w14:textId="77777777" w:rsidTr="005B7DD9">
        <w:trPr>
          <w:trHeight w:val="256"/>
        </w:trPr>
        <w:tc>
          <w:tcPr>
            <w:tcW w:w="1702" w:type="dxa"/>
            <w:vAlign w:val="center"/>
          </w:tcPr>
          <w:p w14:paraId="2AF8E725" w14:textId="41B6AC10"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4.2.2.2</w:t>
            </w:r>
          </w:p>
        </w:tc>
        <w:tc>
          <w:tcPr>
            <w:tcW w:w="9780" w:type="dxa"/>
            <w:gridSpan w:val="8"/>
            <w:vAlign w:val="center"/>
          </w:tcPr>
          <w:p w14:paraId="29C843C5" w14:textId="6008D051"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Aplicación de la metodología y herramienta/s (encuesta/s) para medir el número de personas conscientes de las soluciones propuestas por el proyecto, usándolas para mejorar prácticas en la cadena de valor y para la toma de decisiones informadas</w:t>
            </w:r>
          </w:p>
        </w:tc>
      </w:tr>
      <w:tr w:rsidR="003656FC" w:rsidRPr="00DE692F" w14:paraId="6F3E69DB" w14:textId="77777777" w:rsidTr="005B7DD9">
        <w:trPr>
          <w:trHeight w:val="232"/>
        </w:trPr>
        <w:tc>
          <w:tcPr>
            <w:tcW w:w="1702" w:type="dxa"/>
            <w:vAlign w:val="center"/>
          </w:tcPr>
          <w:p w14:paraId="6529A9AA" w14:textId="7ECB8C4F" w:rsidR="003656FC" w:rsidRPr="00DE692F" w:rsidRDefault="003656FC" w:rsidP="003656FC">
            <w:pPr>
              <w:tabs>
                <w:tab w:val="left" w:pos="4680"/>
              </w:tabs>
              <w:jc w:val="left"/>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Actividad 4.2.2.3</w:t>
            </w:r>
          </w:p>
        </w:tc>
        <w:tc>
          <w:tcPr>
            <w:tcW w:w="9780" w:type="dxa"/>
            <w:gridSpan w:val="8"/>
            <w:vAlign w:val="center"/>
          </w:tcPr>
          <w:p w14:paraId="0A5EBB26" w14:textId="25460ED7" w:rsidR="003656FC" w:rsidRPr="00DE692F" w:rsidRDefault="003656FC" w:rsidP="003656FC">
            <w:pPr>
              <w:tabs>
                <w:tab w:val="left" w:pos="4680"/>
              </w:tabs>
              <w:ind w:right="645"/>
              <w:jc w:val="left"/>
              <w:rPr>
                <w:rFonts w:asciiTheme="minorHAnsi" w:eastAsiaTheme="minorEastAsia" w:hAnsiTheme="minorHAnsi" w:cstheme="minorHAnsi"/>
                <w:sz w:val="16"/>
                <w:szCs w:val="16"/>
              </w:rPr>
            </w:pPr>
            <w:r w:rsidRPr="00DE692F">
              <w:rPr>
                <w:rFonts w:asciiTheme="minorHAnsi" w:eastAsiaTheme="minorEastAsia" w:hAnsiTheme="minorHAnsi" w:cstheme="minorHAnsi"/>
                <w:sz w:val="16"/>
                <w:szCs w:val="16"/>
              </w:rPr>
              <w:t xml:space="preserve">Acompañamiento al diseño, pilotaje e implementación de las soluciones propuestas por el proyecto a fin de facilitar la adopción de </w:t>
            </w:r>
            <w:r w:rsidR="001052BE" w:rsidRPr="00DE692F">
              <w:rPr>
                <w:rFonts w:asciiTheme="minorHAnsi" w:eastAsiaTheme="minorEastAsia" w:hAnsiTheme="minorHAnsi" w:cstheme="minorHAnsi"/>
                <w:sz w:val="16"/>
                <w:szCs w:val="16"/>
              </w:rPr>
              <w:t>estos</w:t>
            </w:r>
            <w:r w:rsidRPr="00DE692F">
              <w:rPr>
                <w:rFonts w:asciiTheme="minorHAnsi" w:eastAsiaTheme="minorEastAsia" w:hAnsiTheme="minorHAnsi" w:cstheme="minorHAnsi"/>
                <w:sz w:val="16"/>
                <w:szCs w:val="16"/>
              </w:rPr>
              <w:t xml:space="preserve"> por las diferentes partes interesadas</w:t>
            </w:r>
          </w:p>
        </w:tc>
      </w:tr>
      <w:tr w:rsidR="003656FC" w:rsidRPr="00DE692F" w14:paraId="41751B25" w14:textId="77777777" w:rsidTr="005B7DD9">
        <w:trPr>
          <w:trHeight w:val="688"/>
        </w:trPr>
        <w:tc>
          <w:tcPr>
            <w:tcW w:w="4962" w:type="dxa"/>
            <w:gridSpan w:val="3"/>
            <w:tcBorders>
              <w:bottom w:val="single" w:sz="4" w:space="0" w:color="auto"/>
            </w:tcBorders>
            <w:vAlign w:val="center"/>
          </w:tcPr>
          <w:p w14:paraId="5F36C1A2" w14:textId="77777777" w:rsidR="003656FC" w:rsidRPr="00DE692F" w:rsidRDefault="003656FC" w:rsidP="003656FC">
            <w:pPr>
              <w:tabs>
                <w:tab w:val="left" w:pos="4680"/>
              </w:tabs>
              <w:rPr>
                <w:rFonts w:asciiTheme="minorHAnsi" w:hAnsiTheme="minorHAnsi" w:cstheme="minorHAnsi"/>
                <w:b/>
                <w:bCs/>
                <w:sz w:val="16"/>
                <w:szCs w:val="16"/>
              </w:rPr>
            </w:pPr>
            <w:r w:rsidRPr="00DE692F">
              <w:rPr>
                <w:rFonts w:asciiTheme="minorHAnsi" w:hAnsiTheme="minorHAnsi" w:cstheme="minorHAnsi"/>
                <w:b/>
                <w:bCs/>
                <w:sz w:val="16"/>
                <w:szCs w:val="16"/>
              </w:rPr>
              <w:t>Logros completados:</w:t>
            </w:r>
          </w:p>
          <w:p w14:paraId="486FFA95" w14:textId="784F64B9" w:rsidR="003656FC" w:rsidRPr="00DE692F" w:rsidRDefault="007F4C3D" w:rsidP="003656FC">
            <w:pPr>
              <w:tabs>
                <w:tab w:val="left" w:pos="4680"/>
              </w:tabs>
              <w:rPr>
                <w:rFonts w:asciiTheme="minorHAnsi" w:hAnsiTheme="minorHAnsi" w:cstheme="minorHAnsi"/>
                <w:sz w:val="16"/>
                <w:szCs w:val="16"/>
              </w:rPr>
            </w:pPr>
            <w:r w:rsidRPr="00DE692F">
              <w:rPr>
                <w:rFonts w:asciiTheme="minorHAnsi" w:hAnsiTheme="minorHAnsi" w:cstheme="minorHAnsi"/>
                <w:sz w:val="16"/>
                <w:szCs w:val="16"/>
              </w:rPr>
              <w:t>Se ha elaborado los términos de referencia del Servicio de diseño e implementación de la metodología CAP para medir el nivel de conciencia de las partes interesadas sobre las soluciones propuestas por el Proyecto FOLUR, que tiene como objetivo diseñar, validar e implementar integralmente una metodología basada en CAP (Conocimientos, Actitudes y Prácticas) y herramientas que permitan medir cuántas personas son conscientes y utilizan las soluciones promovidas por el proyecto FOLUR para mejorar las prácticas sostenibles en las cadenas de valor de café y cacao, contribuyendo así a reducir la deforestación y degradación, y a una toma de decisiones más informada y con enfoque de género e interculturalidad. Este estudio se tendrá en el primer semestre del año 2026.</w:t>
            </w:r>
          </w:p>
        </w:tc>
        <w:tc>
          <w:tcPr>
            <w:tcW w:w="6520" w:type="dxa"/>
            <w:gridSpan w:val="6"/>
            <w:tcBorders>
              <w:bottom w:val="single" w:sz="4" w:space="0" w:color="auto"/>
            </w:tcBorders>
            <w:vAlign w:val="center"/>
          </w:tcPr>
          <w:p w14:paraId="2C734C36" w14:textId="77777777" w:rsidR="003656FC" w:rsidRPr="00DE692F"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Resultados no logrados:</w:t>
            </w:r>
          </w:p>
          <w:p w14:paraId="5E3F6D3C" w14:textId="08787E9D" w:rsidR="003656FC" w:rsidRPr="00DE692F" w:rsidRDefault="00FC5C3F" w:rsidP="003656FC">
            <w:pPr>
              <w:tabs>
                <w:tab w:val="left" w:pos="4680"/>
              </w:tabs>
              <w:rPr>
                <w:rFonts w:asciiTheme="minorHAnsi" w:eastAsiaTheme="minorEastAsia" w:hAnsiTheme="minorHAnsi" w:cstheme="minorHAnsi"/>
                <w:sz w:val="16"/>
                <w:szCs w:val="16"/>
              </w:rPr>
            </w:pPr>
            <w:r>
              <w:rPr>
                <w:rFonts w:asciiTheme="minorHAnsi" w:eastAsiaTheme="minorEastAsia" w:hAnsiTheme="minorHAnsi" w:cstheme="minorHAnsi"/>
                <w:sz w:val="16"/>
                <w:szCs w:val="16"/>
              </w:rPr>
              <w:t xml:space="preserve">Durante el 2025, se esperaba iniciar el diseño de la metodología para medir el nivel de conciencia. Sin embargo, para acelerar el avance en este indicador, se planteó un servicio que diseñe la metodología y la implemente. </w:t>
            </w:r>
          </w:p>
          <w:p w14:paraId="424E8AC9" w14:textId="77777777" w:rsidR="003656FC" w:rsidRPr="00DE692F" w:rsidRDefault="003656FC" w:rsidP="003656FC">
            <w:pPr>
              <w:tabs>
                <w:tab w:val="left" w:pos="4680"/>
              </w:tabs>
              <w:rPr>
                <w:rFonts w:asciiTheme="minorHAnsi" w:eastAsiaTheme="minorEastAsia" w:hAnsiTheme="minorHAnsi" w:cstheme="minorHAnsi"/>
                <w:b/>
                <w:bCs/>
                <w:sz w:val="16"/>
                <w:szCs w:val="16"/>
              </w:rPr>
            </w:pPr>
            <w:r w:rsidRPr="00DE692F">
              <w:rPr>
                <w:rFonts w:asciiTheme="minorHAnsi" w:eastAsiaTheme="minorEastAsia" w:hAnsiTheme="minorHAnsi" w:cstheme="minorHAnsi"/>
                <w:b/>
                <w:bCs/>
                <w:sz w:val="16"/>
                <w:szCs w:val="16"/>
              </w:rPr>
              <w:t>Obstáculos:</w:t>
            </w:r>
          </w:p>
          <w:p w14:paraId="0AED0212" w14:textId="6561273D" w:rsidR="00FC5C3F" w:rsidRPr="00DE692F" w:rsidRDefault="007F4C3D" w:rsidP="001052BE">
            <w:pPr>
              <w:tabs>
                <w:tab w:val="left" w:pos="4680"/>
              </w:tabs>
              <w:rPr>
                <w:rFonts w:asciiTheme="minorHAnsi" w:hAnsiTheme="minorHAnsi" w:cstheme="minorHAnsi"/>
                <w:sz w:val="16"/>
                <w:szCs w:val="16"/>
              </w:rPr>
            </w:pPr>
            <w:r w:rsidRPr="00DE692F">
              <w:rPr>
                <w:rFonts w:asciiTheme="minorHAnsi" w:hAnsiTheme="minorHAnsi" w:cstheme="minorHAnsi"/>
                <w:sz w:val="16"/>
                <w:szCs w:val="16"/>
              </w:rPr>
              <w:t xml:space="preserve"> </w:t>
            </w:r>
            <w:r w:rsidR="00FC5C3F">
              <w:rPr>
                <w:rFonts w:asciiTheme="minorHAnsi" w:hAnsiTheme="minorHAnsi" w:cstheme="minorHAnsi"/>
                <w:sz w:val="16"/>
                <w:szCs w:val="16"/>
              </w:rPr>
              <w:t>Este indicador fue redefinido en el ajuste del marco de resultados en diciembre 2024, a partir de ese momento se continuaron los esfuerzos para contar con la línea de base del proyecto. Posteriormente, a finales del tercer trimestre del 2025, se inició la elaboración de los términos de referencia, los cuales fueron revisados por todo el equipo para asegurar que incluya las soluciones planteadas por cada componente y temas transversales. A diciembre 2025, se tiene el TdR listo para convocar.</w:t>
            </w:r>
          </w:p>
        </w:tc>
      </w:tr>
    </w:tbl>
    <w:p w14:paraId="18ADA442" w14:textId="77777777" w:rsidR="007E2F69" w:rsidRDefault="007E2F69" w:rsidP="001B19B3">
      <w:pPr>
        <w:pStyle w:val="Prrafodelista"/>
        <w:rPr>
          <w:rFonts w:asciiTheme="minorHAnsi" w:hAnsiTheme="minorHAnsi" w:cstheme="minorHAnsi"/>
          <w:b/>
          <w:bCs/>
          <w:sz w:val="20"/>
          <w:szCs w:val="20"/>
        </w:rPr>
      </w:pPr>
    </w:p>
    <w:p w14:paraId="459340F1" w14:textId="77777777" w:rsidR="001052BE" w:rsidRDefault="001052BE" w:rsidP="001B19B3">
      <w:pPr>
        <w:pStyle w:val="Prrafodelista"/>
        <w:rPr>
          <w:rFonts w:asciiTheme="minorHAnsi" w:hAnsiTheme="minorHAnsi" w:cstheme="minorHAnsi"/>
          <w:b/>
          <w:bCs/>
          <w:sz w:val="20"/>
          <w:szCs w:val="20"/>
        </w:rPr>
      </w:pPr>
    </w:p>
    <w:p w14:paraId="4D30DECB" w14:textId="77777777" w:rsidR="001052BE" w:rsidRPr="00DE692F" w:rsidRDefault="001052BE" w:rsidP="001B19B3">
      <w:pPr>
        <w:pStyle w:val="Prrafodelista"/>
        <w:rPr>
          <w:rFonts w:asciiTheme="minorHAnsi" w:hAnsiTheme="minorHAnsi" w:cstheme="minorHAnsi"/>
          <w:b/>
          <w:bCs/>
          <w:sz w:val="20"/>
          <w:szCs w:val="20"/>
        </w:rPr>
      </w:pPr>
    </w:p>
    <w:p w14:paraId="58D87477" w14:textId="60E4113A" w:rsidR="00557C49" w:rsidRPr="00DE692F" w:rsidRDefault="00C9670C" w:rsidP="582CB6FB">
      <w:pPr>
        <w:pStyle w:val="Prrafodelista"/>
        <w:numPr>
          <w:ilvl w:val="0"/>
          <w:numId w:val="21"/>
        </w:numPr>
        <w:jc w:val="both"/>
        <w:rPr>
          <w:rFonts w:asciiTheme="minorHAnsi" w:hAnsiTheme="minorHAnsi" w:cstheme="minorBidi"/>
          <w:sz w:val="20"/>
          <w:szCs w:val="20"/>
        </w:rPr>
      </w:pPr>
      <w:r w:rsidRPr="00DE692F">
        <w:rPr>
          <w:rFonts w:asciiTheme="minorHAnsi" w:hAnsiTheme="minorHAnsi" w:cstheme="minorBidi"/>
          <w:b/>
          <w:bCs/>
          <w:sz w:val="20"/>
          <w:szCs w:val="20"/>
        </w:rPr>
        <w:t>EJECUCIÓN FINANCIERA</w:t>
      </w:r>
      <w:r w:rsidR="003B0210" w:rsidRPr="00DE692F">
        <w:rPr>
          <w:rFonts w:asciiTheme="minorHAnsi" w:hAnsiTheme="minorHAnsi" w:cstheme="minorBidi"/>
          <w:b/>
          <w:bCs/>
          <w:sz w:val="20"/>
          <w:szCs w:val="20"/>
        </w:rPr>
        <w:t xml:space="preserve"> </w:t>
      </w:r>
      <w:r w:rsidR="00067C2D" w:rsidRPr="00DE692F">
        <w:rPr>
          <w:rFonts w:asciiTheme="minorHAnsi" w:hAnsiTheme="minorHAnsi" w:cstheme="minorBidi"/>
          <w:b/>
          <w:bCs/>
          <w:sz w:val="20"/>
          <w:szCs w:val="20"/>
        </w:rPr>
        <w:t>(OPCIONAL)</w:t>
      </w:r>
    </w:p>
    <w:p w14:paraId="466E318D" w14:textId="0BB7BFB9" w:rsidR="00557C49" w:rsidRDefault="001A377F" w:rsidP="001052BE">
      <w:pPr>
        <w:ind w:left="360"/>
        <w:rPr>
          <w:rFonts w:asciiTheme="minorHAnsi" w:hAnsiTheme="minorHAnsi" w:cstheme="minorBidi"/>
          <w:sz w:val="20"/>
          <w:szCs w:val="20"/>
        </w:rPr>
      </w:pPr>
      <w:r w:rsidRPr="00DE692F">
        <w:rPr>
          <w:rFonts w:asciiTheme="minorHAnsi" w:hAnsiTheme="minorHAnsi" w:cstheme="minorBidi"/>
          <w:sz w:val="20"/>
          <w:szCs w:val="20"/>
        </w:rPr>
        <w:t xml:space="preserve">Incorporar </w:t>
      </w:r>
      <w:r w:rsidR="00C9670C" w:rsidRPr="00DE692F">
        <w:rPr>
          <w:rFonts w:asciiTheme="minorHAnsi" w:hAnsiTheme="minorHAnsi" w:cstheme="minorBidi"/>
          <w:sz w:val="20"/>
          <w:szCs w:val="20"/>
        </w:rPr>
        <w:t xml:space="preserve">la información </w:t>
      </w:r>
      <w:r w:rsidR="00491D27" w:rsidRPr="00DE692F">
        <w:rPr>
          <w:rFonts w:asciiTheme="minorHAnsi" w:hAnsiTheme="minorHAnsi" w:cstheme="minorBidi"/>
          <w:sz w:val="20"/>
          <w:szCs w:val="20"/>
        </w:rPr>
        <w:t>del presupuesto</w:t>
      </w:r>
      <w:r w:rsidR="008B6F92" w:rsidRPr="00DE692F">
        <w:rPr>
          <w:rFonts w:asciiTheme="minorHAnsi" w:hAnsiTheme="minorHAnsi" w:cstheme="minorBidi"/>
          <w:sz w:val="20"/>
          <w:szCs w:val="20"/>
        </w:rPr>
        <w:t xml:space="preserve"> total, </w:t>
      </w:r>
      <w:r w:rsidR="00BE06C2" w:rsidRPr="00DE692F">
        <w:rPr>
          <w:rFonts w:asciiTheme="minorHAnsi" w:hAnsiTheme="minorHAnsi" w:cstheme="minorBidi"/>
          <w:sz w:val="20"/>
          <w:szCs w:val="20"/>
        </w:rPr>
        <w:t xml:space="preserve">presupuesto anual, ejecución anual y acumulada </w:t>
      </w:r>
      <w:r w:rsidR="00491D27" w:rsidRPr="00DE692F">
        <w:rPr>
          <w:rFonts w:asciiTheme="minorHAnsi" w:hAnsiTheme="minorHAnsi" w:cstheme="minorBidi"/>
          <w:sz w:val="20"/>
          <w:szCs w:val="20"/>
        </w:rPr>
        <w:t>del proyecto</w:t>
      </w:r>
      <w:r w:rsidR="6017BD07" w:rsidRPr="00DE692F">
        <w:rPr>
          <w:rFonts w:asciiTheme="minorHAnsi" w:hAnsiTheme="minorHAnsi" w:cstheme="minorBidi"/>
          <w:sz w:val="20"/>
          <w:szCs w:val="20"/>
        </w:rPr>
        <w:t xml:space="preserve">.  </w:t>
      </w:r>
      <w:r w:rsidR="00AA465C" w:rsidRPr="00DE692F">
        <w:rPr>
          <w:rFonts w:asciiTheme="minorHAnsi" w:hAnsiTheme="minorHAnsi" w:cstheme="minorBidi"/>
          <w:sz w:val="20"/>
          <w:szCs w:val="20"/>
        </w:rPr>
        <w:t xml:space="preserve">El llenado del cuadro es </w:t>
      </w:r>
      <w:r w:rsidR="00AA465C" w:rsidRPr="00DE692F">
        <w:rPr>
          <w:rFonts w:asciiTheme="minorHAnsi" w:hAnsiTheme="minorHAnsi" w:cstheme="minorBidi"/>
          <w:b/>
          <w:sz w:val="20"/>
          <w:szCs w:val="20"/>
        </w:rPr>
        <w:t>o</w:t>
      </w:r>
      <w:r w:rsidR="6017BD07" w:rsidRPr="00DE692F">
        <w:rPr>
          <w:rFonts w:asciiTheme="minorHAnsi" w:hAnsiTheme="minorHAnsi" w:cstheme="minorBidi"/>
          <w:b/>
          <w:sz w:val="20"/>
          <w:szCs w:val="20"/>
        </w:rPr>
        <w:t>pcional</w:t>
      </w:r>
      <w:r w:rsidR="00491D27" w:rsidRPr="00DE692F">
        <w:rPr>
          <w:rFonts w:asciiTheme="minorHAnsi" w:hAnsiTheme="minorHAnsi" w:cstheme="minorBidi"/>
          <w:sz w:val="20"/>
          <w:szCs w:val="20"/>
        </w:rPr>
        <w:t xml:space="preserve"> según </w:t>
      </w:r>
      <w:r w:rsidR="208D4F29" w:rsidRPr="00DE692F">
        <w:rPr>
          <w:rFonts w:asciiTheme="minorHAnsi" w:hAnsiTheme="minorHAnsi" w:cstheme="minorBidi"/>
          <w:sz w:val="20"/>
          <w:szCs w:val="20"/>
        </w:rPr>
        <w:t>el marco de resultados de cada proyecto.</w:t>
      </w:r>
    </w:p>
    <w:p w14:paraId="004BF4FB" w14:textId="77777777" w:rsidR="001052BE" w:rsidRDefault="001052BE" w:rsidP="001052BE">
      <w:pPr>
        <w:ind w:left="360"/>
        <w:rPr>
          <w:rFonts w:asciiTheme="minorHAnsi" w:hAnsiTheme="minorHAnsi" w:cstheme="minorBid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98"/>
        <w:gridCol w:w="1107"/>
        <w:gridCol w:w="891"/>
        <w:gridCol w:w="1014"/>
        <w:gridCol w:w="891"/>
        <w:gridCol w:w="1020"/>
        <w:gridCol w:w="1095"/>
      </w:tblGrid>
      <w:tr w:rsidR="00B13068" w:rsidRPr="00343D56" w14:paraId="0D09498E" w14:textId="77777777" w:rsidTr="001052BE">
        <w:trPr>
          <w:trHeight w:val="621"/>
          <w:tblHeader/>
        </w:trPr>
        <w:tc>
          <w:tcPr>
            <w:tcW w:w="0" w:type="auto"/>
            <w:shd w:val="clear" w:color="D0CECE" w:fill="D0CECE"/>
            <w:vAlign w:val="center"/>
            <w:hideMark/>
          </w:tcPr>
          <w:p w14:paraId="1DBE85CA"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Resultado/Componente/Producto</w:t>
            </w:r>
          </w:p>
        </w:tc>
        <w:tc>
          <w:tcPr>
            <w:tcW w:w="0" w:type="auto"/>
            <w:shd w:val="clear" w:color="D0CECE" w:fill="D0CECE"/>
            <w:vAlign w:val="center"/>
            <w:hideMark/>
          </w:tcPr>
          <w:p w14:paraId="311F4584"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Presupuesto Total del proyecto</w:t>
            </w:r>
          </w:p>
        </w:tc>
        <w:tc>
          <w:tcPr>
            <w:tcW w:w="0" w:type="auto"/>
            <w:shd w:val="clear" w:color="D0CECE" w:fill="D0CECE"/>
            <w:vAlign w:val="center"/>
            <w:hideMark/>
          </w:tcPr>
          <w:p w14:paraId="17BA9619"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Ejecución anual </w:t>
            </w:r>
            <w:r w:rsidRPr="00343D56">
              <w:rPr>
                <w:rFonts w:ascii="Calibri" w:hAnsi="Calibri" w:cs="Calibri"/>
                <w:b/>
                <w:bCs/>
                <w:color w:val="000000"/>
                <w:sz w:val="16"/>
                <w:szCs w:val="16"/>
                <w:lang w:eastAsia="es-PE"/>
              </w:rPr>
              <w:br/>
              <w:t>2024</w:t>
            </w:r>
          </w:p>
        </w:tc>
        <w:tc>
          <w:tcPr>
            <w:tcW w:w="0" w:type="auto"/>
            <w:shd w:val="clear" w:color="D0CECE" w:fill="D0CECE"/>
            <w:vAlign w:val="center"/>
            <w:hideMark/>
          </w:tcPr>
          <w:p w14:paraId="6C1CF8F3"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Presupuesto Anual </w:t>
            </w:r>
            <w:r w:rsidRPr="00343D56">
              <w:rPr>
                <w:rFonts w:ascii="Calibri" w:hAnsi="Calibri" w:cs="Calibri"/>
                <w:b/>
                <w:bCs/>
                <w:color w:val="000000"/>
                <w:sz w:val="16"/>
                <w:szCs w:val="16"/>
                <w:lang w:eastAsia="es-PE"/>
              </w:rPr>
              <w:br/>
              <w:t>2025</w:t>
            </w:r>
          </w:p>
        </w:tc>
        <w:tc>
          <w:tcPr>
            <w:tcW w:w="0" w:type="auto"/>
            <w:shd w:val="clear" w:color="D0CECE" w:fill="D0CECE"/>
            <w:vAlign w:val="center"/>
            <w:hideMark/>
          </w:tcPr>
          <w:p w14:paraId="2E876123"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Ejecución anual 2025</w:t>
            </w:r>
          </w:p>
        </w:tc>
        <w:tc>
          <w:tcPr>
            <w:tcW w:w="0" w:type="auto"/>
            <w:shd w:val="clear" w:color="D0CECE" w:fill="D0CECE"/>
            <w:vAlign w:val="center"/>
            <w:hideMark/>
          </w:tcPr>
          <w:p w14:paraId="1AA6540F"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Ejecución acumulada total</w:t>
            </w:r>
          </w:p>
        </w:tc>
        <w:tc>
          <w:tcPr>
            <w:tcW w:w="0" w:type="auto"/>
            <w:shd w:val="clear" w:color="D0CECE" w:fill="D0CECE"/>
            <w:vAlign w:val="center"/>
            <w:hideMark/>
          </w:tcPr>
          <w:p w14:paraId="79F37CD7" w14:textId="77777777" w:rsidR="00B13068" w:rsidRPr="00343D56" w:rsidRDefault="00B13068" w:rsidP="002B637B">
            <w:pPr>
              <w:spacing w:after="0"/>
              <w:jc w:val="center"/>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Saldo Total del proyecto</w:t>
            </w:r>
          </w:p>
        </w:tc>
      </w:tr>
      <w:tr w:rsidR="00B13068" w:rsidRPr="00343D56" w14:paraId="25B54EC6" w14:textId="77777777" w:rsidTr="001052BE">
        <w:trPr>
          <w:trHeight w:val="545"/>
        </w:trPr>
        <w:tc>
          <w:tcPr>
            <w:tcW w:w="0" w:type="auto"/>
            <w:shd w:val="clear" w:color="D9E2F3" w:fill="D9E2F3"/>
            <w:vAlign w:val="center"/>
            <w:hideMark/>
          </w:tcPr>
          <w:p w14:paraId="38579365"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Componente 1: Desarrollo de sistemas de gestión integrada del paisaje (GIP). El C1 es implementado por el PNUD en su totalidad</w:t>
            </w:r>
          </w:p>
        </w:tc>
        <w:tc>
          <w:tcPr>
            <w:tcW w:w="0" w:type="auto"/>
            <w:shd w:val="clear" w:color="D9E2F3" w:fill="D9E2F3"/>
            <w:vAlign w:val="center"/>
            <w:hideMark/>
          </w:tcPr>
          <w:p w14:paraId="12BE561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2,601,000.00 </w:t>
            </w:r>
          </w:p>
        </w:tc>
        <w:tc>
          <w:tcPr>
            <w:tcW w:w="0" w:type="auto"/>
            <w:shd w:val="clear" w:color="D9E2F3" w:fill="D9E2F3"/>
            <w:vAlign w:val="center"/>
            <w:hideMark/>
          </w:tcPr>
          <w:p w14:paraId="2AFAA13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27,281.65 </w:t>
            </w:r>
          </w:p>
        </w:tc>
        <w:tc>
          <w:tcPr>
            <w:tcW w:w="0" w:type="auto"/>
            <w:shd w:val="clear" w:color="D9E2F3" w:fill="D9E2F3"/>
            <w:vAlign w:val="center"/>
            <w:hideMark/>
          </w:tcPr>
          <w:p w14:paraId="6C08103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507,449.60 </w:t>
            </w:r>
          </w:p>
        </w:tc>
        <w:tc>
          <w:tcPr>
            <w:tcW w:w="0" w:type="auto"/>
            <w:shd w:val="clear" w:color="D9E2F3" w:fill="D9E2F3"/>
            <w:vAlign w:val="center"/>
            <w:hideMark/>
          </w:tcPr>
          <w:p w14:paraId="0C6358F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154,389.04 </w:t>
            </w:r>
          </w:p>
        </w:tc>
        <w:tc>
          <w:tcPr>
            <w:tcW w:w="0" w:type="auto"/>
            <w:shd w:val="clear" w:color="D9E2F3" w:fill="D9E2F3"/>
            <w:vAlign w:val="center"/>
            <w:hideMark/>
          </w:tcPr>
          <w:p w14:paraId="5A58B1C1"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181,670.69 </w:t>
            </w:r>
          </w:p>
        </w:tc>
        <w:tc>
          <w:tcPr>
            <w:tcW w:w="0" w:type="auto"/>
            <w:shd w:val="clear" w:color="D9E2F3" w:fill="D9E2F3"/>
            <w:vAlign w:val="center"/>
            <w:hideMark/>
          </w:tcPr>
          <w:p w14:paraId="17A81188"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2,419,329.31 </w:t>
            </w:r>
          </w:p>
        </w:tc>
      </w:tr>
      <w:tr w:rsidR="00B13068" w:rsidRPr="00343D56" w14:paraId="389C48C9" w14:textId="77777777" w:rsidTr="001052BE">
        <w:trPr>
          <w:trHeight w:val="605"/>
        </w:trPr>
        <w:tc>
          <w:tcPr>
            <w:tcW w:w="0" w:type="auto"/>
            <w:shd w:val="clear" w:color="E7E6E6" w:fill="E7E6E6"/>
            <w:vAlign w:val="center"/>
            <w:hideMark/>
          </w:tcPr>
          <w:p w14:paraId="379BB688"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1: </w:t>
            </w:r>
            <w:r w:rsidRPr="00343D56">
              <w:rPr>
                <w:rFonts w:ascii="Calibri" w:hAnsi="Calibri" w:cs="Calibri"/>
                <w:color w:val="000000"/>
                <w:sz w:val="16"/>
                <w:szCs w:val="16"/>
                <w:lang w:eastAsia="es-PE"/>
              </w:rPr>
              <w:t>Los servicios de ecosistemas sostenibles y una buena gestión del paisaje están respaldados por un sistema GIP</w:t>
            </w:r>
          </w:p>
        </w:tc>
        <w:tc>
          <w:tcPr>
            <w:tcW w:w="0" w:type="auto"/>
            <w:shd w:val="clear" w:color="E7E6E6" w:fill="E7E6E6"/>
            <w:vAlign w:val="center"/>
            <w:hideMark/>
          </w:tcPr>
          <w:p w14:paraId="6BB6468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1,969,250.00 </w:t>
            </w:r>
          </w:p>
        </w:tc>
        <w:tc>
          <w:tcPr>
            <w:tcW w:w="0" w:type="auto"/>
            <w:shd w:val="clear" w:color="E7E6E6" w:fill="E7E6E6"/>
            <w:vAlign w:val="center"/>
            <w:hideMark/>
          </w:tcPr>
          <w:p w14:paraId="4ABBF7E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24,273.46 </w:t>
            </w:r>
          </w:p>
        </w:tc>
        <w:tc>
          <w:tcPr>
            <w:tcW w:w="0" w:type="auto"/>
            <w:shd w:val="clear" w:color="E7E6E6" w:fill="E7E6E6"/>
            <w:vAlign w:val="center"/>
            <w:hideMark/>
          </w:tcPr>
          <w:p w14:paraId="2821B9AD"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392,809.30 </w:t>
            </w:r>
          </w:p>
        </w:tc>
        <w:tc>
          <w:tcPr>
            <w:tcW w:w="0" w:type="auto"/>
            <w:shd w:val="clear" w:color="E7E6E6" w:fill="E7E6E6"/>
            <w:vAlign w:val="center"/>
            <w:hideMark/>
          </w:tcPr>
          <w:p w14:paraId="30DCDF2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93,936.25 </w:t>
            </w:r>
          </w:p>
        </w:tc>
        <w:tc>
          <w:tcPr>
            <w:tcW w:w="0" w:type="auto"/>
            <w:shd w:val="clear" w:color="E7E6E6" w:fill="E7E6E6"/>
            <w:vAlign w:val="center"/>
            <w:hideMark/>
          </w:tcPr>
          <w:p w14:paraId="246931E2"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118,209.71 </w:t>
            </w:r>
          </w:p>
        </w:tc>
        <w:tc>
          <w:tcPr>
            <w:tcW w:w="0" w:type="auto"/>
            <w:shd w:val="clear" w:color="E7E6E6" w:fill="E7E6E6"/>
            <w:vAlign w:val="center"/>
            <w:hideMark/>
          </w:tcPr>
          <w:p w14:paraId="72AB81B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2,044,956.96 </w:t>
            </w:r>
          </w:p>
        </w:tc>
      </w:tr>
      <w:tr w:rsidR="00B13068" w:rsidRPr="00343D56" w14:paraId="5C0CAAE8" w14:textId="77777777" w:rsidTr="001052BE">
        <w:trPr>
          <w:trHeight w:val="858"/>
        </w:trPr>
        <w:tc>
          <w:tcPr>
            <w:tcW w:w="0" w:type="auto"/>
            <w:vAlign w:val="center"/>
            <w:hideMark/>
          </w:tcPr>
          <w:p w14:paraId="5EA111DF"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b/>
                <w:bCs/>
                <w:color w:val="000000"/>
                <w:sz w:val="16"/>
                <w:szCs w:val="16"/>
                <w:lang w:eastAsia="es-PE"/>
              </w:rPr>
              <w:t>Producto 1.1.1</w:t>
            </w:r>
            <w:r w:rsidRPr="00343D56">
              <w:rPr>
                <w:rFonts w:ascii="Calibri" w:hAnsi="Calibri" w:cs="Calibri"/>
                <w:color w:val="000000"/>
                <w:sz w:val="16"/>
                <w:szCs w:val="16"/>
                <w:lang w:eastAsia="es-PE"/>
              </w:rPr>
              <w:t xml:space="preserve"> Planes de Desarrollo Territorial (PDT) apoyados por sistemas GIP y alineados con los impulsores clave de la deforestación y la pérdida de hábitat.</w:t>
            </w:r>
          </w:p>
        </w:tc>
        <w:tc>
          <w:tcPr>
            <w:tcW w:w="0" w:type="auto"/>
            <w:vAlign w:val="center"/>
            <w:hideMark/>
          </w:tcPr>
          <w:p w14:paraId="6437837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327,250.00 </w:t>
            </w:r>
          </w:p>
        </w:tc>
        <w:tc>
          <w:tcPr>
            <w:tcW w:w="0" w:type="auto"/>
            <w:vAlign w:val="center"/>
            <w:hideMark/>
          </w:tcPr>
          <w:p w14:paraId="40BB0B7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5,419.14 </w:t>
            </w:r>
          </w:p>
        </w:tc>
        <w:tc>
          <w:tcPr>
            <w:tcW w:w="0" w:type="auto"/>
            <w:vAlign w:val="center"/>
            <w:hideMark/>
          </w:tcPr>
          <w:p w14:paraId="62B4175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120,788.35 </w:t>
            </w:r>
          </w:p>
        </w:tc>
        <w:tc>
          <w:tcPr>
            <w:tcW w:w="0" w:type="auto"/>
            <w:vAlign w:val="center"/>
            <w:hideMark/>
          </w:tcPr>
          <w:p w14:paraId="31F0648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9,871.84 </w:t>
            </w:r>
          </w:p>
        </w:tc>
        <w:tc>
          <w:tcPr>
            <w:tcW w:w="0" w:type="auto"/>
            <w:vAlign w:val="center"/>
            <w:hideMark/>
          </w:tcPr>
          <w:p w14:paraId="6E4CAB6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15,290.98 </w:t>
            </w:r>
          </w:p>
        </w:tc>
        <w:tc>
          <w:tcPr>
            <w:tcW w:w="0" w:type="auto"/>
            <w:vAlign w:val="center"/>
            <w:hideMark/>
          </w:tcPr>
          <w:p w14:paraId="0E57DED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311,959.02 </w:t>
            </w:r>
          </w:p>
        </w:tc>
      </w:tr>
      <w:tr w:rsidR="00B13068" w:rsidRPr="00343D56" w14:paraId="7C26E3F3" w14:textId="77777777" w:rsidTr="001052BE">
        <w:trPr>
          <w:trHeight w:val="842"/>
        </w:trPr>
        <w:tc>
          <w:tcPr>
            <w:tcW w:w="0" w:type="auto"/>
            <w:vAlign w:val="center"/>
            <w:hideMark/>
          </w:tcPr>
          <w:p w14:paraId="6D056716"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b/>
                <w:bCs/>
                <w:color w:val="000000"/>
                <w:sz w:val="16"/>
                <w:szCs w:val="16"/>
                <w:lang w:eastAsia="es-PE"/>
              </w:rPr>
              <w:t>Producto 1.1.2</w:t>
            </w:r>
            <w:r w:rsidRPr="00343D56">
              <w:rPr>
                <w:rFonts w:ascii="Calibri" w:hAnsi="Calibri" w:cs="Calibri"/>
                <w:color w:val="000000"/>
                <w:sz w:val="16"/>
                <w:szCs w:val="16"/>
                <w:lang w:eastAsia="es-PE"/>
              </w:rPr>
              <w:t xml:space="preserve"> Fortalecimiento de los Planes de Vida de los Pueblos Indígenas (PVPI) en temas de gobernanza y producción sustentable.</w:t>
            </w:r>
          </w:p>
        </w:tc>
        <w:tc>
          <w:tcPr>
            <w:tcW w:w="0" w:type="auto"/>
            <w:vAlign w:val="center"/>
            <w:hideMark/>
          </w:tcPr>
          <w:p w14:paraId="0350AAE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1,270,000.00 </w:t>
            </w:r>
          </w:p>
        </w:tc>
        <w:tc>
          <w:tcPr>
            <w:tcW w:w="0" w:type="auto"/>
            <w:vAlign w:val="center"/>
            <w:hideMark/>
          </w:tcPr>
          <w:p w14:paraId="48B9601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AA956F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188,071.38 </w:t>
            </w:r>
          </w:p>
        </w:tc>
        <w:tc>
          <w:tcPr>
            <w:tcW w:w="0" w:type="auto"/>
            <w:vAlign w:val="center"/>
            <w:hideMark/>
          </w:tcPr>
          <w:p w14:paraId="1D78FF3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35,202.35 </w:t>
            </w:r>
          </w:p>
        </w:tc>
        <w:tc>
          <w:tcPr>
            <w:tcW w:w="0" w:type="auto"/>
            <w:vAlign w:val="center"/>
            <w:hideMark/>
          </w:tcPr>
          <w:p w14:paraId="45E3CC8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35,202.35 </w:t>
            </w:r>
          </w:p>
        </w:tc>
        <w:tc>
          <w:tcPr>
            <w:tcW w:w="0" w:type="auto"/>
            <w:vAlign w:val="center"/>
            <w:hideMark/>
          </w:tcPr>
          <w:p w14:paraId="4F293D7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1,234,797.65 </w:t>
            </w:r>
          </w:p>
        </w:tc>
      </w:tr>
      <w:tr w:rsidR="00B13068" w:rsidRPr="00343D56" w14:paraId="27CC9154" w14:textId="77777777" w:rsidTr="002B637B">
        <w:trPr>
          <w:trHeight w:val="1635"/>
        </w:trPr>
        <w:tc>
          <w:tcPr>
            <w:tcW w:w="0" w:type="auto"/>
            <w:vAlign w:val="center"/>
            <w:hideMark/>
          </w:tcPr>
          <w:p w14:paraId="7B03E18D"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b/>
                <w:bCs/>
                <w:color w:val="000000"/>
                <w:sz w:val="16"/>
                <w:szCs w:val="16"/>
                <w:lang w:eastAsia="es-PE"/>
              </w:rPr>
              <w:t>Producto 1.1.3</w:t>
            </w:r>
            <w:r w:rsidRPr="00343D56">
              <w:rPr>
                <w:rFonts w:ascii="Calibri" w:hAnsi="Calibri" w:cs="Calibri"/>
                <w:color w:val="000000"/>
                <w:sz w:val="16"/>
                <w:szCs w:val="16"/>
                <w:lang w:eastAsia="es-PE"/>
              </w:rPr>
              <w:t xml:space="preserve"> Fortalecimiento de capacidades en el sector público a nivel de gobiernos regionales y locales, en planificación de GIP; e implementación de acuerdos institucionales y lineamientos para incluir los objetivos de GIP en la planificación y programación del presupuesto anual</w:t>
            </w:r>
          </w:p>
        </w:tc>
        <w:tc>
          <w:tcPr>
            <w:tcW w:w="0" w:type="auto"/>
            <w:vAlign w:val="center"/>
            <w:hideMark/>
          </w:tcPr>
          <w:p w14:paraId="5EF0DD3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193,916.67 </w:t>
            </w:r>
          </w:p>
        </w:tc>
        <w:tc>
          <w:tcPr>
            <w:tcW w:w="0" w:type="auto"/>
            <w:vAlign w:val="center"/>
            <w:hideMark/>
          </w:tcPr>
          <w:p w14:paraId="5963CF6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6518EB1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46,271.40 </w:t>
            </w:r>
          </w:p>
        </w:tc>
        <w:tc>
          <w:tcPr>
            <w:tcW w:w="0" w:type="auto"/>
            <w:vAlign w:val="center"/>
            <w:hideMark/>
          </w:tcPr>
          <w:p w14:paraId="07FF226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9,299.63 </w:t>
            </w:r>
          </w:p>
        </w:tc>
        <w:tc>
          <w:tcPr>
            <w:tcW w:w="0" w:type="auto"/>
            <w:vAlign w:val="center"/>
            <w:hideMark/>
          </w:tcPr>
          <w:p w14:paraId="61D69AF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9,299.63 </w:t>
            </w:r>
          </w:p>
        </w:tc>
        <w:tc>
          <w:tcPr>
            <w:tcW w:w="0" w:type="auto"/>
            <w:vAlign w:val="center"/>
            <w:hideMark/>
          </w:tcPr>
          <w:p w14:paraId="010494C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184,617.04 </w:t>
            </w:r>
          </w:p>
        </w:tc>
      </w:tr>
      <w:tr w:rsidR="00B13068" w:rsidRPr="00343D56" w14:paraId="27F1FB69" w14:textId="77777777" w:rsidTr="002B637B">
        <w:trPr>
          <w:trHeight w:val="360"/>
        </w:trPr>
        <w:tc>
          <w:tcPr>
            <w:tcW w:w="0" w:type="auto"/>
            <w:vAlign w:val="center"/>
            <w:hideMark/>
          </w:tcPr>
          <w:p w14:paraId="6DF000BB"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Responsable del Componente </w:t>
            </w:r>
          </w:p>
        </w:tc>
        <w:tc>
          <w:tcPr>
            <w:tcW w:w="0" w:type="auto"/>
            <w:vAlign w:val="center"/>
            <w:hideMark/>
          </w:tcPr>
          <w:p w14:paraId="2B58FAA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252,000.00 </w:t>
            </w:r>
          </w:p>
        </w:tc>
        <w:tc>
          <w:tcPr>
            <w:tcW w:w="0" w:type="auto"/>
            <w:vAlign w:val="center"/>
            <w:hideMark/>
          </w:tcPr>
          <w:p w14:paraId="0F94024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16,483.40 </w:t>
            </w:r>
          </w:p>
        </w:tc>
        <w:tc>
          <w:tcPr>
            <w:tcW w:w="0" w:type="auto"/>
            <w:vAlign w:val="center"/>
            <w:hideMark/>
          </w:tcPr>
          <w:p w14:paraId="3C28271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31,628.89 </w:t>
            </w:r>
          </w:p>
        </w:tc>
        <w:tc>
          <w:tcPr>
            <w:tcW w:w="0" w:type="auto"/>
            <w:vAlign w:val="center"/>
            <w:hideMark/>
          </w:tcPr>
          <w:p w14:paraId="6B6FD01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33,376.18 </w:t>
            </w:r>
          </w:p>
        </w:tc>
        <w:tc>
          <w:tcPr>
            <w:tcW w:w="0" w:type="auto"/>
            <w:vAlign w:val="center"/>
            <w:hideMark/>
          </w:tcPr>
          <w:p w14:paraId="3B8F6B3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49,859.58 </w:t>
            </w:r>
          </w:p>
        </w:tc>
        <w:tc>
          <w:tcPr>
            <w:tcW w:w="0" w:type="auto"/>
            <w:vAlign w:val="center"/>
            <w:hideMark/>
          </w:tcPr>
          <w:p w14:paraId="0811A4F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202,140.42 </w:t>
            </w:r>
          </w:p>
        </w:tc>
      </w:tr>
      <w:tr w:rsidR="00B13068" w:rsidRPr="00343D56" w14:paraId="3976A170" w14:textId="77777777" w:rsidTr="002B637B">
        <w:trPr>
          <w:trHeight w:val="360"/>
        </w:trPr>
        <w:tc>
          <w:tcPr>
            <w:tcW w:w="0" w:type="auto"/>
            <w:vAlign w:val="center"/>
            <w:hideMark/>
          </w:tcPr>
          <w:p w14:paraId="0946ABA9"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Equipos para tecnología de la información </w:t>
            </w:r>
          </w:p>
        </w:tc>
        <w:tc>
          <w:tcPr>
            <w:tcW w:w="0" w:type="auto"/>
            <w:vAlign w:val="center"/>
            <w:hideMark/>
          </w:tcPr>
          <w:p w14:paraId="773434E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90,000.00 </w:t>
            </w:r>
          </w:p>
        </w:tc>
        <w:tc>
          <w:tcPr>
            <w:tcW w:w="0" w:type="auto"/>
            <w:vAlign w:val="center"/>
            <w:hideMark/>
          </w:tcPr>
          <w:p w14:paraId="28DF73B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2,370.92 </w:t>
            </w:r>
          </w:p>
        </w:tc>
        <w:tc>
          <w:tcPr>
            <w:tcW w:w="0" w:type="auto"/>
            <w:vAlign w:val="center"/>
            <w:hideMark/>
          </w:tcPr>
          <w:p w14:paraId="1F66101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2983099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231375D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2,370.92 </w:t>
            </w:r>
          </w:p>
        </w:tc>
        <w:tc>
          <w:tcPr>
            <w:tcW w:w="0" w:type="auto"/>
            <w:vAlign w:val="center"/>
            <w:hideMark/>
          </w:tcPr>
          <w:p w14:paraId="3C9BA0D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87,629.08 </w:t>
            </w:r>
          </w:p>
        </w:tc>
      </w:tr>
      <w:tr w:rsidR="00B13068" w:rsidRPr="00343D56" w14:paraId="15EA60FF" w14:textId="77777777" w:rsidTr="002B637B">
        <w:trPr>
          <w:trHeight w:val="360"/>
        </w:trPr>
        <w:tc>
          <w:tcPr>
            <w:tcW w:w="0" w:type="auto"/>
            <w:vAlign w:val="center"/>
            <w:hideMark/>
          </w:tcPr>
          <w:p w14:paraId="171C2227"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Suministros</w:t>
            </w:r>
          </w:p>
        </w:tc>
        <w:tc>
          <w:tcPr>
            <w:tcW w:w="0" w:type="auto"/>
            <w:vAlign w:val="center"/>
            <w:hideMark/>
          </w:tcPr>
          <w:p w14:paraId="2D56EB3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30,000.00 </w:t>
            </w:r>
          </w:p>
        </w:tc>
        <w:tc>
          <w:tcPr>
            <w:tcW w:w="0" w:type="auto"/>
            <w:vAlign w:val="center"/>
            <w:hideMark/>
          </w:tcPr>
          <w:p w14:paraId="7A89730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060F485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6,049.29 </w:t>
            </w:r>
          </w:p>
        </w:tc>
        <w:tc>
          <w:tcPr>
            <w:tcW w:w="0" w:type="auto"/>
            <w:vAlign w:val="center"/>
            <w:hideMark/>
          </w:tcPr>
          <w:p w14:paraId="1356CEE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6,186.25 </w:t>
            </w:r>
          </w:p>
        </w:tc>
        <w:tc>
          <w:tcPr>
            <w:tcW w:w="0" w:type="auto"/>
            <w:vAlign w:val="center"/>
            <w:hideMark/>
          </w:tcPr>
          <w:p w14:paraId="044C4E9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6,186.25 </w:t>
            </w:r>
          </w:p>
        </w:tc>
        <w:tc>
          <w:tcPr>
            <w:tcW w:w="0" w:type="auto"/>
            <w:vAlign w:val="center"/>
            <w:hideMark/>
          </w:tcPr>
          <w:p w14:paraId="7E6F7BB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23,813.75 </w:t>
            </w:r>
          </w:p>
        </w:tc>
      </w:tr>
      <w:tr w:rsidR="00B13068" w:rsidRPr="00343D56" w14:paraId="1628E838" w14:textId="77777777" w:rsidTr="002B637B">
        <w:trPr>
          <w:trHeight w:val="990"/>
        </w:trPr>
        <w:tc>
          <w:tcPr>
            <w:tcW w:w="0" w:type="auto"/>
            <w:shd w:val="clear" w:color="E7E6E6" w:fill="E7E6E6"/>
            <w:vAlign w:val="center"/>
            <w:hideMark/>
          </w:tcPr>
          <w:p w14:paraId="5B97C29E"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lastRenderedPageBreak/>
              <w:t xml:space="preserve">Resultado 2: </w:t>
            </w:r>
            <w:r w:rsidRPr="00343D56">
              <w:rPr>
                <w:rFonts w:ascii="Calibri" w:hAnsi="Calibri" w:cs="Calibri"/>
                <w:color w:val="000000"/>
                <w:sz w:val="16"/>
                <w:szCs w:val="16"/>
                <w:lang w:eastAsia="es-PE"/>
              </w:rPr>
              <w:t>Los planes de uso de la tierra, la fiscalización y el monitoreo apoyan el cambio de los pequeños agricultores hacia productos libres de deforestación (CLD)</w:t>
            </w:r>
          </w:p>
        </w:tc>
        <w:tc>
          <w:tcPr>
            <w:tcW w:w="0" w:type="auto"/>
            <w:shd w:val="clear" w:color="E7E6E6" w:fill="E7E6E6"/>
            <w:vAlign w:val="center"/>
            <w:hideMark/>
          </w:tcPr>
          <w:p w14:paraId="6812192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631,750.00 </w:t>
            </w:r>
          </w:p>
        </w:tc>
        <w:tc>
          <w:tcPr>
            <w:tcW w:w="0" w:type="auto"/>
            <w:shd w:val="clear" w:color="E7E6E6" w:fill="E7E6E6"/>
            <w:vAlign w:val="center"/>
            <w:hideMark/>
          </w:tcPr>
          <w:p w14:paraId="195B499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3,008.19 </w:t>
            </w:r>
          </w:p>
        </w:tc>
        <w:tc>
          <w:tcPr>
            <w:tcW w:w="0" w:type="auto"/>
            <w:shd w:val="clear" w:color="E7E6E6" w:fill="E7E6E6"/>
            <w:vAlign w:val="center"/>
            <w:hideMark/>
          </w:tcPr>
          <w:p w14:paraId="5E2281E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114,640.30 </w:t>
            </w:r>
          </w:p>
        </w:tc>
        <w:tc>
          <w:tcPr>
            <w:tcW w:w="0" w:type="auto"/>
            <w:shd w:val="clear" w:color="E7E6E6" w:fill="E7E6E6"/>
            <w:vAlign w:val="center"/>
            <w:hideMark/>
          </w:tcPr>
          <w:p w14:paraId="6CDDDA7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60,452.79 </w:t>
            </w:r>
          </w:p>
        </w:tc>
        <w:tc>
          <w:tcPr>
            <w:tcW w:w="0" w:type="auto"/>
            <w:shd w:val="clear" w:color="E7E6E6" w:fill="E7E6E6"/>
            <w:vAlign w:val="center"/>
            <w:hideMark/>
          </w:tcPr>
          <w:p w14:paraId="16133B3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63,460.98 </w:t>
            </w:r>
          </w:p>
        </w:tc>
        <w:tc>
          <w:tcPr>
            <w:tcW w:w="0" w:type="auto"/>
            <w:shd w:val="clear" w:color="E7E6E6" w:fill="E7E6E6"/>
            <w:vAlign w:val="center"/>
            <w:hideMark/>
          </w:tcPr>
          <w:p w14:paraId="7AD345C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374,372.35 </w:t>
            </w:r>
          </w:p>
        </w:tc>
      </w:tr>
      <w:tr w:rsidR="00B13068" w:rsidRPr="00343D56" w14:paraId="591E504B" w14:textId="77777777" w:rsidTr="002B637B">
        <w:trPr>
          <w:trHeight w:val="1820"/>
        </w:trPr>
        <w:tc>
          <w:tcPr>
            <w:tcW w:w="0" w:type="auto"/>
            <w:vAlign w:val="center"/>
            <w:hideMark/>
          </w:tcPr>
          <w:p w14:paraId="3A6168D0" w14:textId="61DFEB1E"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Producto 1.2.1: </w:t>
            </w:r>
            <w:r w:rsidRPr="00343D56">
              <w:rPr>
                <w:rFonts w:ascii="Calibri" w:hAnsi="Calibri" w:cs="Calibri"/>
                <w:color w:val="000000"/>
                <w:sz w:val="16"/>
                <w:szCs w:val="16"/>
                <w:lang w:eastAsia="es-PE"/>
              </w:rPr>
              <w:t xml:space="preserve">Mejora de </w:t>
            </w:r>
            <w:r w:rsidR="00CE23E1" w:rsidRPr="00343D56">
              <w:rPr>
                <w:rFonts w:ascii="Calibri" w:hAnsi="Calibri" w:cs="Calibri"/>
                <w:color w:val="000000"/>
                <w:sz w:val="16"/>
                <w:szCs w:val="16"/>
                <w:lang w:eastAsia="es-PE"/>
              </w:rPr>
              <w:t>políticas</w:t>
            </w:r>
            <w:r w:rsidRPr="00343D56">
              <w:rPr>
                <w:rFonts w:ascii="Calibri" w:hAnsi="Calibri" w:cs="Calibri"/>
                <w:color w:val="000000"/>
                <w:sz w:val="16"/>
                <w:szCs w:val="16"/>
                <w:lang w:eastAsia="es-PE"/>
              </w:rPr>
              <w:t xml:space="preserve"> de uso de la tierra, capacidades y herramientas de las autoridades regionales y locales, basadas en tecnología, para fiscalizar la implementación de las políticas y planes de uso de la tierra, instrumentos de planificación territorial, así como el mantenimiento de áreas de conservación de bosques y hábitats.</w:t>
            </w:r>
          </w:p>
        </w:tc>
        <w:tc>
          <w:tcPr>
            <w:tcW w:w="0" w:type="auto"/>
            <w:vAlign w:val="center"/>
            <w:hideMark/>
          </w:tcPr>
          <w:p w14:paraId="45FEBD7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160,583.33 </w:t>
            </w:r>
          </w:p>
        </w:tc>
        <w:tc>
          <w:tcPr>
            <w:tcW w:w="0" w:type="auto"/>
            <w:vAlign w:val="center"/>
            <w:hideMark/>
          </w:tcPr>
          <w:p w14:paraId="58B675A3"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3,008.19 </w:t>
            </w:r>
          </w:p>
        </w:tc>
        <w:tc>
          <w:tcPr>
            <w:tcW w:w="0" w:type="auto"/>
            <w:vAlign w:val="center"/>
            <w:hideMark/>
          </w:tcPr>
          <w:p w14:paraId="6ACBC308"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108,404.34 </w:t>
            </w:r>
          </w:p>
        </w:tc>
        <w:tc>
          <w:tcPr>
            <w:tcW w:w="0" w:type="auto"/>
            <w:vAlign w:val="center"/>
            <w:hideMark/>
          </w:tcPr>
          <w:p w14:paraId="2605FB6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58,681.96 </w:t>
            </w:r>
          </w:p>
        </w:tc>
        <w:tc>
          <w:tcPr>
            <w:tcW w:w="0" w:type="auto"/>
            <w:vAlign w:val="center"/>
            <w:hideMark/>
          </w:tcPr>
          <w:p w14:paraId="4E8B3F4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61,690.15 </w:t>
            </w:r>
          </w:p>
        </w:tc>
        <w:tc>
          <w:tcPr>
            <w:tcW w:w="0" w:type="auto"/>
            <w:vAlign w:val="center"/>
            <w:hideMark/>
          </w:tcPr>
          <w:p w14:paraId="4F06F62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98,893.18 </w:t>
            </w:r>
          </w:p>
        </w:tc>
      </w:tr>
      <w:tr w:rsidR="00B13068" w:rsidRPr="00343D56" w14:paraId="15E6F721" w14:textId="77777777" w:rsidTr="001052BE">
        <w:trPr>
          <w:trHeight w:val="1178"/>
        </w:trPr>
        <w:tc>
          <w:tcPr>
            <w:tcW w:w="0" w:type="auto"/>
            <w:vAlign w:val="center"/>
            <w:hideMark/>
          </w:tcPr>
          <w:p w14:paraId="7AFB3F6F"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Producto 1.2.2: </w:t>
            </w:r>
            <w:r w:rsidRPr="00343D56">
              <w:rPr>
                <w:rFonts w:ascii="Calibri" w:hAnsi="Calibri" w:cs="Calibri"/>
                <w:color w:val="000000"/>
                <w:sz w:val="16"/>
                <w:szCs w:val="16"/>
                <w:lang w:eastAsia="es-PE"/>
              </w:rPr>
              <w:t>Acuerdos de Conservación – AC voluntarios entre actores públicos y privados asociados al trabajo de los GOREs y GOLOs en zonas con BAVC, con incentivos financieros para recuperación, restauración y conectividad, y con un enfoque de género e interculturalidad.</w:t>
            </w:r>
          </w:p>
        </w:tc>
        <w:tc>
          <w:tcPr>
            <w:tcW w:w="0" w:type="auto"/>
            <w:vAlign w:val="center"/>
            <w:hideMark/>
          </w:tcPr>
          <w:p w14:paraId="13BD7EA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277,250.00 </w:t>
            </w:r>
          </w:p>
        </w:tc>
        <w:tc>
          <w:tcPr>
            <w:tcW w:w="0" w:type="auto"/>
            <w:vAlign w:val="center"/>
            <w:hideMark/>
          </w:tcPr>
          <w:p w14:paraId="67AFE9B0"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62A4E0CC"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5,181.66 </w:t>
            </w:r>
          </w:p>
        </w:tc>
        <w:tc>
          <w:tcPr>
            <w:tcW w:w="0" w:type="auto"/>
            <w:vAlign w:val="center"/>
            <w:hideMark/>
          </w:tcPr>
          <w:p w14:paraId="6A50E6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1,770.83 </w:t>
            </w:r>
          </w:p>
        </w:tc>
        <w:tc>
          <w:tcPr>
            <w:tcW w:w="0" w:type="auto"/>
            <w:vAlign w:val="center"/>
            <w:hideMark/>
          </w:tcPr>
          <w:p w14:paraId="3CA68D2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1,770.83 </w:t>
            </w:r>
          </w:p>
        </w:tc>
        <w:tc>
          <w:tcPr>
            <w:tcW w:w="0" w:type="auto"/>
            <w:vAlign w:val="center"/>
            <w:hideMark/>
          </w:tcPr>
          <w:p w14:paraId="5C8282F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275,479.17 </w:t>
            </w:r>
          </w:p>
        </w:tc>
      </w:tr>
      <w:tr w:rsidR="00B13068" w:rsidRPr="00343D56" w14:paraId="61837901" w14:textId="77777777" w:rsidTr="001052BE">
        <w:trPr>
          <w:trHeight w:val="1085"/>
        </w:trPr>
        <w:tc>
          <w:tcPr>
            <w:tcW w:w="0" w:type="auto"/>
            <w:vAlign w:val="center"/>
            <w:hideMark/>
          </w:tcPr>
          <w:p w14:paraId="58A365B5"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Producto 1.2.3 </w:t>
            </w:r>
            <w:r w:rsidRPr="00343D56">
              <w:rPr>
                <w:rFonts w:ascii="Calibri" w:hAnsi="Calibri" w:cs="Calibri"/>
                <w:color w:val="000000"/>
                <w:sz w:val="16"/>
                <w:szCs w:val="16"/>
                <w:lang w:eastAsia="es-PE"/>
              </w:rPr>
              <w:t>Gobiernos Regionales, locales y sector privado fortalecidos en M&amp;E (elaboración de informes) asociado al cumplimiento de normas y del avance de la deforestación relacionado a la producción de commodities fuera de la ANP.</w:t>
            </w:r>
          </w:p>
        </w:tc>
        <w:tc>
          <w:tcPr>
            <w:tcW w:w="0" w:type="auto"/>
            <w:vAlign w:val="center"/>
            <w:hideMark/>
          </w:tcPr>
          <w:p w14:paraId="0F81BDD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7F5D19A6"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w:t>
            </w:r>
          </w:p>
        </w:tc>
        <w:tc>
          <w:tcPr>
            <w:tcW w:w="0" w:type="auto"/>
            <w:vAlign w:val="center"/>
            <w:hideMark/>
          </w:tcPr>
          <w:p w14:paraId="31AE041F"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1,054.30 </w:t>
            </w:r>
          </w:p>
        </w:tc>
        <w:tc>
          <w:tcPr>
            <w:tcW w:w="0" w:type="auto"/>
            <w:vAlign w:val="center"/>
            <w:hideMark/>
          </w:tcPr>
          <w:p w14:paraId="7BE0D4D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B51B25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834829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r>
      <w:tr w:rsidR="00B13068" w:rsidRPr="00343D56" w14:paraId="40566EAE" w14:textId="77777777" w:rsidTr="001052BE">
        <w:trPr>
          <w:trHeight w:val="463"/>
        </w:trPr>
        <w:tc>
          <w:tcPr>
            <w:tcW w:w="0" w:type="auto"/>
            <w:shd w:val="clear" w:color="D9E2F3" w:fill="D9E2F3"/>
            <w:vAlign w:val="center"/>
            <w:hideMark/>
          </w:tcPr>
          <w:p w14:paraId="0BC60F81"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Componente 2:</w:t>
            </w:r>
            <w:r w:rsidRPr="00343D56">
              <w:rPr>
                <w:rFonts w:cs="Arial"/>
                <w:color w:val="000000"/>
                <w:sz w:val="16"/>
                <w:szCs w:val="16"/>
                <w:lang w:eastAsia="es-PE"/>
              </w:rPr>
              <w:t xml:space="preserve"> </w:t>
            </w:r>
            <w:r w:rsidRPr="00343D56">
              <w:rPr>
                <w:rFonts w:ascii="Calibri" w:hAnsi="Calibri" w:cs="Calibri"/>
                <w:color w:val="000000"/>
                <w:sz w:val="16"/>
                <w:szCs w:val="16"/>
                <w:lang w:eastAsia="es-PE"/>
              </w:rPr>
              <w:t>Promoción de commodities libres de deforestación y sostenibles y cadenas de valor responsables.</w:t>
            </w:r>
          </w:p>
        </w:tc>
        <w:tc>
          <w:tcPr>
            <w:tcW w:w="0" w:type="auto"/>
            <w:shd w:val="clear" w:color="D9E2F3" w:fill="D9E2F3"/>
            <w:vAlign w:val="center"/>
            <w:hideMark/>
          </w:tcPr>
          <w:p w14:paraId="484D902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4,943,859.00 </w:t>
            </w:r>
          </w:p>
        </w:tc>
        <w:tc>
          <w:tcPr>
            <w:tcW w:w="0" w:type="auto"/>
            <w:shd w:val="clear" w:color="D9E2F3" w:fill="D9E2F3"/>
            <w:vAlign w:val="center"/>
            <w:hideMark/>
          </w:tcPr>
          <w:p w14:paraId="62A0A65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29,860.03 </w:t>
            </w:r>
          </w:p>
        </w:tc>
        <w:tc>
          <w:tcPr>
            <w:tcW w:w="0" w:type="auto"/>
            <w:shd w:val="clear" w:color="D9E2F3" w:fill="D9E2F3"/>
            <w:vAlign w:val="center"/>
            <w:hideMark/>
          </w:tcPr>
          <w:p w14:paraId="48199CC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944,578.46 </w:t>
            </w:r>
          </w:p>
        </w:tc>
        <w:tc>
          <w:tcPr>
            <w:tcW w:w="0" w:type="auto"/>
            <w:shd w:val="clear" w:color="D9E2F3" w:fill="D9E2F3"/>
            <w:vAlign w:val="center"/>
            <w:hideMark/>
          </w:tcPr>
          <w:p w14:paraId="19A0B4A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147,919.58 </w:t>
            </w:r>
          </w:p>
        </w:tc>
        <w:tc>
          <w:tcPr>
            <w:tcW w:w="0" w:type="auto"/>
            <w:shd w:val="clear" w:color="D9E2F3" w:fill="D9E2F3"/>
            <w:vAlign w:val="center"/>
            <w:hideMark/>
          </w:tcPr>
          <w:p w14:paraId="453FE24E"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177,779.61 </w:t>
            </w:r>
          </w:p>
        </w:tc>
        <w:tc>
          <w:tcPr>
            <w:tcW w:w="0" w:type="auto"/>
            <w:shd w:val="clear" w:color="D9E2F3" w:fill="D9E2F3"/>
            <w:vAlign w:val="center"/>
            <w:hideMark/>
          </w:tcPr>
          <w:p w14:paraId="3ED9B08A"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4,766,079.39 </w:t>
            </w:r>
          </w:p>
        </w:tc>
      </w:tr>
      <w:tr w:rsidR="00B13068" w:rsidRPr="00343D56" w14:paraId="69380117" w14:textId="77777777" w:rsidTr="002B637B">
        <w:trPr>
          <w:trHeight w:val="1390"/>
        </w:trPr>
        <w:tc>
          <w:tcPr>
            <w:tcW w:w="0" w:type="auto"/>
            <w:shd w:val="clear" w:color="E7E6E6" w:fill="E7E6E6"/>
            <w:vAlign w:val="center"/>
            <w:hideMark/>
          </w:tcPr>
          <w:p w14:paraId="4EE0ED2A"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3: </w:t>
            </w:r>
            <w:r w:rsidRPr="00343D56">
              <w:rPr>
                <w:rFonts w:ascii="Calibri" w:hAnsi="Calibri" w:cs="Calibri"/>
                <w:color w:val="000000"/>
                <w:sz w:val="16"/>
                <w:szCs w:val="16"/>
                <w:lang w:eastAsia="es-PE"/>
              </w:rPr>
              <w:t>La participación del sector privado y las cadenas de valor responsables aumentan la producción sostenible de commodities (café, cacao y aceite de palma), respaldada por una mayor capacidad técnica y financiera de los pequeños y medianos propietarios.</w:t>
            </w:r>
          </w:p>
        </w:tc>
        <w:tc>
          <w:tcPr>
            <w:tcW w:w="0" w:type="auto"/>
            <w:shd w:val="clear" w:color="E7E6E6" w:fill="E7E6E6"/>
            <w:vAlign w:val="center"/>
            <w:hideMark/>
          </w:tcPr>
          <w:p w14:paraId="25F749F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1,427,253.00 </w:t>
            </w:r>
          </w:p>
        </w:tc>
        <w:tc>
          <w:tcPr>
            <w:tcW w:w="0" w:type="auto"/>
            <w:shd w:val="clear" w:color="E7E6E6" w:fill="E7E6E6"/>
            <w:vAlign w:val="center"/>
            <w:hideMark/>
          </w:tcPr>
          <w:p w14:paraId="1ADC425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29,860.03 </w:t>
            </w:r>
          </w:p>
        </w:tc>
        <w:tc>
          <w:tcPr>
            <w:tcW w:w="0" w:type="auto"/>
            <w:shd w:val="clear" w:color="E7E6E6" w:fill="E7E6E6"/>
            <w:vAlign w:val="center"/>
            <w:hideMark/>
          </w:tcPr>
          <w:p w14:paraId="0EE91E3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465,033.05 </w:t>
            </w:r>
          </w:p>
        </w:tc>
        <w:tc>
          <w:tcPr>
            <w:tcW w:w="0" w:type="auto"/>
            <w:shd w:val="clear" w:color="E7E6E6" w:fill="E7E6E6"/>
            <w:vAlign w:val="center"/>
            <w:hideMark/>
          </w:tcPr>
          <w:p w14:paraId="20397A21"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141,680.46 </w:t>
            </w:r>
          </w:p>
        </w:tc>
        <w:tc>
          <w:tcPr>
            <w:tcW w:w="0" w:type="auto"/>
            <w:shd w:val="clear" w:color="E7E6E6" w:fill="E7E6E6"/>
            <w:vAlign w:val="center"/>
            <w:hideMark/>
          </w:tcPr>
          <w:p w14:paraId="580EFC68"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171,540.49 </w:t>
            </w:r>
          </w:p>
        </w:tc>
        <w:tc>
          <w:tcPr>
            <w:tcW w:w="0" w:type="auto"/>
            <w:shd w:val="clear" w:color="E7E6E6" w:fill="E7E6E6"/>
            <w:vAlign w:val="center"/>
            <w:hideMark/>
          </w:tcPr>
          <w:p w14:paraId="51F6195E"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1,255,712.51 </w:t>
            </w:r>
          </w:p>
        </w:tc>
      </w:tr>
      <w:tr w:rsidR="00B13068" w:rsidRPr="00343D56" w14:paraId="4DDE0241" w14:textId="77777777" w:rsidTr="001052BE">
        <w:trPr>
          <w:trHeight w:val="1597"/>
        </w:trPr>
        <w:tc>
          <w:tcPr>
            <w:tcW w:w="0" w:type="auto"/>
            <w:vAlign w:val="center"/>
            <w:hideMark/>
          </w:tcPr>
          <w:p w14:paraId="248EB64F"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2.1.1: </w:t>
            </w:r>
            <w:r w:rsidRPr="00343D56">
              <w:rPr>
                <w:rFonts w:ascii="Calibri" w:hAnsi="Calibri" w:cs="Calibri"/>
                <w:color w:val="000000"/>
                <w:sz w:val="16"/>
                <w:szCs w:val="16"/>
                <w:lang w:eastAsia="es-PE"/>
              </w:rPr>
              <w:t>Planes para implementar paquetes tecnológicos innovadores libres de deforestación apoyados en tecnología, agricultura climáticamente inteligente (ACI), manejo forestal (GFS) y agroforestería; orientados a promover oportunidades de inversión y abastecimiento de productos libres de deforestación para compradores privados nacionales e internacionales</w:t>
            </w:r>
          </w:p>
        </w:tc>
        <w:tc>
          <w:tcPr>
            <w:tcW w:w="0" w:type="auto"/>
            <w:vAlign w:val="center"/>
            <w:hideMark/>
          </w:tcPr>
          <w:p w14:paraId="11F4BE3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146,846.00 </w:t>
            </w:r>
          </w:p>
        </w:tc>
        <w:tc>
          <w:tcPr>
            <w:tcW w:w="0" w:type="auto"/>
            <w:vAlign w:val="center"/>
            <w:hideMark/>
          </w:tcPr>
          <w:p w14:paraId="7531B1FF"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2,366.38 </w:t>
            </w:r>
          </w:p>
        </w:tc>
        <w:tc>
          <w:tcPr>
            <w:tcW w:w="0" w:type="auto"/>
            <w:vAlign w:val="center"/>
            <w:hideMark/>
          </w:tcPr>
          <w:p w14:paraId="0E866D10"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117,110.91 </w:t>
            </w:r>
          </w:p>
        </w:tc>
        <w:tc>
          <w:tcPr>
            <w:tcW w:w="0" w:type="auto"/>
            <w:vAlign w:val="center"/>
            <w:hideMark/>
          </w:tcPr>
          <w:p w14:paraId="5612C82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9,339.05 </w:t>
            </w:r>
          </w:p>
        </w:tc>
        <w:tc>
          <w:tcPr>
            <w:tcW w:w="0" w:type="auto"/>
            <w:vAlign w:val="center"/>
            <w:hideMark/>
          </w:tcPr>
          <w:p w14:paraId="2995ECC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11,705.43 </w:t>
            </w:r>
          </w:p>
        </w:tc>
        <w:tc>
          <w:tcPr>
            <w:tcW w:w="0" w:type="auto"/>
            <w:vAlign w:val="center"/>
            <w:hideMark/>
          </w:tcPr>
          <w:p w14:paraId="77A9F30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135,140.57 </w:t>
            </w:r>
          </w:p>
        </w:tc>
      </w:tr>
      <w:tr w:rsidR="00B13068" w:rsidRPr="00343D56" w14:paraId="087336B1" w14:textId="77777777" w:rsidTr="001052BE">
        <w:trPr>
          <w:trHeight w:val="1484"/>
        </w:trPr>
        <w:tc>
          <w:tcPr>
            <w:tcW w:w="0" w:type="auto"/>
            <w:vAlign w:val="center"/>
            <w:hideMark/>
          </w:tcPr>
          <w:p w14:paraId="59094ADB"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2.1.2: </w:t>
            </w:r>
            <w:r w:rsidRPr="00343D56">
              <w:rPr>
                <w:rFonts w:ascii="Calibri" w:hAnsi="Calibri" w:cs="Calibri"/>
                <w:color w:val="000000"/>
                <w:sz w:val="16"/>
                <w:szCs w:val="16"/>
                <w:lang w:eastAsia="es-PE"/>
              </w:rPr>
              <w:t xml:space="preserve">Plataformas de diálogo de commodities evaluadas y fortalecidas, a nivel nacional y regional y que aseguré la participación de múltiples partes interesadas (evaluación de los objetivos CLD de las plataformas de diálogo con respecto a la capacidad existente de cumplir sus metas y planes de acción). </w:t>
            </w:r>
          </w:p>
        </w:tc>
        <w:tc>
          <w:tcPr>
            <w:tcW w:w="0" w:type="auto"/>
            <w:vAlign w:val="center"/>
            <w:hideMark/>
          </w:tcPr>
          <w:p w14:paraId="5489AC3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142,765.25 </w:t>
            </w:r>
          </w:p>
        </w:tc>
        <w:tc>
          <w:tcPr>
            <w:tcW w:w="0" w:type="auto"/>
            <w:vAlign w:val="center"/>
            <w:hideMark/>
          </w:tcPr>
          <w:p w14:paraId="409FBE93"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976.49 </w:t>
            </w:r>
          </w:p>
        </w:tc>
        <w:tc>
          <w:tcPr>
            <w:tcW w:w="0" w:type="auto"/>
            <w:vAlign w:val="center"/>
            <w:hideMark/>
          </w:tcPr>
          <w:p w14:paraId="4B5EE106"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71,327.10 </w:t>
            </w:r>
          </w:p>
        </w:tc>
        <w:tc>
          <w:tcPr>
            <w:tcW w:w="0" w:type="auto"/>
            <w:vAlign w:val="center"/>
            <w:hideMark/>
          </w:tcPr>
          <w:p w14:paraId="11EB71E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70,849.30 </w:t>
            </w:r>
          </w:p>
        </w:tc>
        <w:tc>
          <w:tcPr>
            <w:tcW w:w="0" w:type="auto"/>
            <w:vAlign w:val="center"/>
            <w:hideMark/>
          </w:tcPr>
          <w:p w14:paraId="107E8DA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71,825.79 </w:t>
            </w:r>
          </w:p>
        </w:tc>
        <w:tc>
          <w:tcPr>
            <w:tcW w:w="0" w:type="auto"/>
            <w:vAlign w:val="center"/>
            <w:hideMark/>
          </w:tcPr>
          <w:p w14:paraId="620C2EF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70,939.46 </w:t>
            </w:r>
          </w:p>
        </w:tc>
      </w:tr>
      <w:tr w:rsidR="00B13068" w:rsidRPr="00343D56" w14:paraId="145CF11F" w14:textId="77777777" w:rsidTr="001052BE">
        <w:trPr>
          <w:trHeight w:val="1058"/>
        </w:trPr>
        <w:tc>
          <w:tcPr>
            <w:tcW w:w="0" w:type="auto"/>
            <w:vAlign w:val="center"/>
            <w:hideMark/>
          </w:tcPr>
          <w:p w14:paraId="4705E02B"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2.1.3: </w:t>
            </w:r>
            <w:r w:rsidRPr="00343D56">
              <w:rPr>
                <w:rFonts w:ascii="Calibri" w:hAnsi="Calibri" w:cs="Calibri"/>
                <w:color w:val="000000"/>
                <w:sz w:val="16"/>
                <w:szCs w:val="16"/>
                <w:lang w:eastAsia="es-PE"/>
              </w:rPr>
              <w:t>Empresas privadas, como compradores de commodities, apoyan el desarrollo de prácticas inclusivas y sostenibles, mediante asistencia técnica y/o mejorando la trazabilidad de las cadenas de valor, entre otras acciones.</w:t>
            </w:r>
          </w:p>
        </w:tc>
        <w:tc>
          <w:tcPr>
            <w:tcW w:w="0" w:type="auto"/>
            <w:vAlign w:val="center"/>
            <w:hideMark/>
          </w:tcPr>
          <w:p w14:paraId="4775B07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217,765.25 </w:t>
            </w:r>
          </w:p>
        </w:tc>
        <w:tc>
          <w:tcPr>
            <w:tcW w:w="0" w:type="auto"/>
            <w:vAlign w:val="center"/>
            <w:hideMark/>
          </w:tcPr>
          <w:p w14:paraId="090036E1"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68460132"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6,708.65 </w:t>
            </w:r>
          </w:p>
        </w:tc>
        <w:tc>
          <w:tcPr>
            <w:tcW w:w="0" w:type="auto"/>
            <w:vAlign w:val="center"/>
            <w:hideMark/>
          </w:tcPr>
          <w:p w14:paraId="60A8C27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453A21C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22DDBF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217,765.25 </w:t>
            </w:r>
          </w:p>
        </w:tc>
      </w:tr>
      <w:tr w:rsidR="00B13068" w:rsidRPr="00343D56" w14:paraId="05190420" w14:textId="77777777" w:rsidTr="002B637B">
        <w:trPr>
          <w:trHeight w:val="1810"/>
        </w:trPr>
        <w:tc>
          <w:tcPr>
            <w:tcW w:w="0" w:type="auto"/>
            <w:vAlign w:val="center"/>
            <w:hideMark/>
          </w:tcPr>
          <w:p w14:paraId="4C9AE9EF"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2.1.4: </w:t>
            </w:r>
            <w:r w:rsidRPr="00343D56">
              <w:rPr>
                <w:rFonts w:ascii="Calibri" w:hAnsi="Calibri" w:cs="Calibri"/>
                <w:color w:val="000000"/>
                <w:sz w:val="16"/>
                <w:szCs w:val="16"/>
                <w:lang w:eastAsia="es-PE"/>
              </w:rPr>
              <w:t xml:space="preserve">Sistema de monitoreo y evaluación M&amp;E para monitorear las cadenas de abastecimiento y programas de capacitación para mejorar la trazabilidad en las cadenas de valor </w:t>
            </w:r>
          </w:p>
        </w:tc>
        <w:tc>
          <w:tcPr>
            <w:tcW w:w="0" w:type="auto"/>
            <w:vAlign w:val="center"/>
            <w:hideMark/>
          </w:tcPr>
          <w:p w14:paraId="6E0D4E1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97,765.25 </w:t>
            </w:r>
          </w:p>
        </w:tc>
        <w:tc>
          <w:tcPr>
            <w:tcW w:w="0" w:type="auto"/>
            <w:vAlign w:val="center"/>
            <w:hideMark/>
          </w:tcPr>
          <w:p w14:paraId="0F79A126"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4827EBB9"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60,284.79 </w:t>
            </w:r>
          </w:p>
        </w:tc>
        <w:tc>
          <w:tcPr>
            <w:tcW w:w="0" w:type="auto"/>
            <w:vAlign w:val="center"/>
            <w:hideMark/>
          </w:tcPr>
          <w:p w14:paraId="3E8AE58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16,583.83 </w:t>
            </w:r>
          </w:p>
        </w:tc>
        <w:tc>
          <w:tcPr>
            <w:tcW w:w="0" w:type="auto"/>
            <w:vAlign w:val="center"/>
            <w:hideMark/>
          </w:tcPr>
          <w:p w14:paraId="71947DA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16,583.83 </w:t>
            </w:r>
          </w:p>
        </w:tc>
        <w:tc>
          <w:tcPr>
            <w:tcW w:w="0" w:type="auto"/>
            <w:vAlign w:val="center"/>
            <w:hideMark/>
          </w:tcPr>
          <w:p w14:paraId="68A4608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81,181.42 </w:t>
            </w:r>
          </w:p>
        </w:tc>
      </w:tr>
      <w:tr w:rsidR="00B13068" w:rsidRPr="00343D56" w14:paraId="5AEDF2B2" w14:textId="77777777" w:rsidTr="002B637B">
        <w:trPr>
          <w:trHeight w:val="1370"/>
        </w:trPr>
        <w:tc>
          <w:tcPr>
            <w:tcW w:w="0" w:type="auto"/>
            <w:vAlign w:val="center"/>
            <w:hideMark/>
          </w:tcPr>
          <w:p w14:paraId="2BBFFF9E"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lastRenderedPageBreak/>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2.1.5: </w:t>
            </w:r>
            <w:r w:rsidRPr="00343D56">
              <w:rPr>
                <w:rFonts w:ascii="Calibri" w:hAnsi="Calibri" w:cs="Calibri"/>
                <w:color w:val="000000"/>
                <w:sz w:val="16"/>
                <w:szCs w:val="16"/>
                <w:lang w:eastAsia="es-PE"/>
              </w:rPr>
              <w:t xml:space="preserve">Estrategias de CLD a nivel de paisaje financieramente sostenible que aumente y amplíe los servicios de AT públicos y privados. La estrategia se financia con recursos públicos y privados (se complementa con el producto 2.2.2 del Resultado 4) </w:t>
            </w:r>
          </w:p>
        </w:tc>
        <w:tc>
          <w:tcPr>
            <w:tcW w:w="0" w:type="auto"/>
            <w:vAlign w:val="center"/>
            <w:hideMark/>
          </w:tcPr>
          <w:p w14:paraId="7FBE088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207,765.25 </w:t>
            </w:r>
          </w:p>
        </w:tc>
        <w:tc>
          <w:tcPr>
            <w:tcW w:w="0" w:type="auto"/>
            <w:vAlign w:val="center"/>
            <w:hideMark/>
          </w:tcPr>
          <w:p w14:paraId="3859B208"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640F9CF8"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165,941.28 </w:t>
            </w:r>
          </w:p>
        </w:tc>
        <w:tc>
          <w:tcPr>
            <w:tcW w:w="0" w:type="auto"/>
            <w:vAlign w:val="center"/>
            <w:hideMark/>
          </w:tcPr>
          <w:p w14:paraId="4605BB8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7,787.48 </w:t>
            </w:r>
          </w:p>
        </w:tc>
        <w:tc>
          <w:tcPr>
            <w:tcW w:w="0" w:type="auto"/>
            <w:vAlign w:val="center"/>
            <w:hideMark/>
          </w:tcPr>
          <w:p w14:paraId="64F8C17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7,787.48 </w:t>
            </w:r>
          </w:p>
        </w:tc>
        <w:tc>
          <w:tcPr>
            <w:tcW w:w="0" w:type="auto"/>
            <w:vAlign w:val="center"/>
            <w:hideMark/>
          </w:tcPr>
          <w:p w14:paraId="36223F9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199,977.77 </w:t>
            </w:r>
          </w:p>
        </w:tc>
      </w:tr>
      <w:tr w:rsidR="00B13068" w:rsidRPr="00343D56" w14:paraId="7761AF86" w14:textId="77777777" w:rsidTr="001052BE">
        <w:trPr>
          <w:trHeight w:val="525"/>
        </w:trPr>
        <w:tc>
          <w:tcPr>
            <w:tcW w:w="0" w:type="auto"/>
            <w:vAlign w:val="center"/>
            <w:hideMark/>
          </w:tcPr>
          <w:p w14:paraId="75848003"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Responsable del Componente 2 (72 meses)</w:t>
            </w:r>
          </w:p>
        </w:tc>
        <w:tc>
          <w:tcPr>
            <w:tcW w:w="0" w:type="auto"/>
            <w:vAlign w:val="center"/>
            <w:hideMark/>
          </w:tcPr>
          <w:p w14:paraId="772FDBC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252,000.00 </w:t>
            </w:r>
          </w:p>
        </w:tc>
        <w:tc>
          <w:tcPr>
            <w:tcW w:w="0" w:type="auto"/>
            <w:vAlign w:val="center"/>
            <w:hideMark/>
          </w:tcPr>
          <w:p w14:paraId="020EBE9B"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19,913.01 </w:t>
            </w:r>
          </w:p>
        </w:tc>
        <w:tc>
          <w:tcPr>
            <w:tcW w:w="0" w:type="auto"/>
            <w:vAlign w:val="center"/>
            <w:hideMark/>
          </w:tcPr>
          <w:p w14:paraId="0AB2F00B"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33,210.33 </w:t>
            </w:r>
          </w:p>
        </w:tc>
        <w:tc>
          <w:tcPr>
            <w:tcW w:w="0" w:type="auto"/>
            <w:vAlign w:val="center"/>
            <w:hideMark/>
          </w:tcPr>
          <w:p w14:paraId="0DAF7E2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35,414.72 </w:t>
            </w:r>
          </w:p>
        </w:tc>
        <w:tc>
          <w:tcPr>
            <w:tcW w:w="0" w:type="auto"/>
            <w:vAlign w:val="center"/>
            <w:hideMark/>
          </w:tcPr>
          <w:p w14:paraId="2087C32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55,327.73 </w:t>
            </w:r>
          </w:p>
        </w:tc>
        <w:tc>
          <w:tcPr>
            <w:tcW w:w="0" w:type="auto"/>
            <w:vAlign w:val="center"/>
            <w:hideMark/>
          </w:tcPr>
          <w:p w14:paraId="135678B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196,672.27 </w:t>
            </w:r>
          </w:p>
        </w:tc>
      </w:tr>
      <w:tr w:rsidR="00B13068" w:rsidRPr="00343D56" w14:paraId="6600D44F" w14:textId="77777777" w:rsidTr="001052BE">
        <w:trPr>
          <w:trHeight w:val="278"/>
        </w:trPr>
        <w:tc>
          <w:tcPr>
            <w:tcW w:w="0" w:type="auto"/>
            <w:vAlign w:val="center"/>
            <w:hideMark/>
          </w:tcPr>
          <w:p w14:paraId="7997A239"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Consultor internacional</w:t>
            </w:r>
          </w:p>
        </w:tc>
        <w:tc>
          <w:tcPr>
            <w:tcW w:w="0" w:type="auto"/>
            <w:vAlign w:val="center"/>
            <w:hideMark/>
          </w:tcPr>
          <w:p w14:paraId="4937549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240,000.00 </w:t>
            </w:r>
          </w:p>
        </w:tc>
        <w:tc>
          <w:tcPr>
            <w:tcW w:w="0" w:type="auto"/>
            <w:vAlign w:val="center"/>
            <w:hideMark/>
          </w:tcPr>
          <w:p w14:paraId="6AB46C95"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26B68086"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   </w:t>
            </w:r>
          </w:p>
        </w:tc>
        <w:tc>
          <w:tcPr>
            <w:tcW w:w="0" w:type="auto"/>
            <w:vAlign w:val="center"/>
            <w:hideMark/>
          </w:tcPr>
          <w:p w14:paraId="426D59D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81C59A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2A95A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240,000.00 </w:t>
            </w:r>
          </w:p>
        </w:tc>
      </w:tr>
      <w:tr w:rsidR="00B13068" w:rsidRPr="00343D56" w14:paraId="033E1A1A" w14:textId="77777777" w:rsidTr="001052BE">
        <w:trPr>
          <w:trHeight w:val="156"/>
        </w:trPr>
        <w:tc>
          <w:tcPr>
            <w:tcW w:w="0" w:type="auto"/>
            <w:vAlign w:val="center"/>
            <w:hideMark/>
          </w:tcPr>
          <w:p w14:paraId="48DDBA62"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Equipos y mobiliarios </w:t>
            </w:r>
          </w:p>
        </w:tc>
        <w:tc>
          <w:tcPr>
            <w:tcW w:w="0" w:type="auto"/>
            <w:vAlign w:val="center"/>
            <w:hideMark/>
          </w:tcPr>
          <w:p w14:paraId="7D4419B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36,000.00 </w:t>
            </w:r>
          </w:p>
        </w:tc>
        <w:tc>
          <w:tcPr>
            <w:tcW w:w="0" w:type="auto"/>
            <w:vAlign w:val="center"/>
            <w:hideMark/>
          </w:tcPr>
          <w:p w14:paraId="389B72B3"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4,293.76 </w:t>
            </w:r>
          </w:p>
        </w:tc>
        <w:tc>
          <w:tcPr>
            <w:tcW w:w="0" w:type="auto"/>
            <w:vAlign w:val="center"/>
            <w:hideMark/>
          </w:tcPr>
          <w:p w14:paraId="3E8C0230"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6,000.00 </w:t>
            </w:r>
          </w:p>
        </w:tc>
        <w:tc>
          <w:tcPr>
            <w:tcW w:w="0" w:type="auto"/>
            <w:vAlign w:val="center"/>
            <w:hideMark/>
          </w:tcPr>
          <w:p w14:paraId="1C3CB80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06C3D5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4,293.76 </w:t>
            </w:r>
          </w:p>
        </w:tc>
        <w:tc>
          <w:tcPr>
            <w:tcW w:w="0" w:type="auto"/>
            <w:vAlign w:val="center"/>
            <w:hideMark/>
          </w:tcPr>
          <w:p w14:paraId="337AA5F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31,706.24 </w:t>
            </w:r>
          </w:p>
        </w:tc>
      </w:tr>
      <w:tr w:rsidR="00B13068" w:rsidRPr="00343D56" w14:paraId="3FD27E22" w14:textId="77777777" w:rsidTr="001052BE">
        <w:trPr>
          <w:trHeight w:val="176"/>
        </w:trPr>
        <w:tc>
          <w:tcPr>
            <w:tcW w:w="0" w:type="auto"/>
            <w:vAlign w:val="center"/>
            <w:hideMark/>
          </w:tcPr>
          <w:p w14:paraId="007C065B"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Equipos de tecnología de la información </w:t>
            </w:r>
          </w:p>
        </w:tc>
        <w:tc>
          <w:tcPr>
            <w:tcW w:w="0" w:type="auto"/>
            <w:vAlign w:val="center"/>
            <w:hideMark/>
          </w:tcPr>
          <w:p w14:paraId="310C794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86,346.00 </w:t>
            </w:r>
          </w:p>
        </w:tc>
        <w:tc>
          <w:tcPr>
            <w:tcW w:w="0" w:type="auto"/>
            <w:vAlign w:val="center"/>
            <w:hideMark/>
          </w:tcPr>
          <w:p w14:paraId="469637D6"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2,310.39 </w:t>
            </w:r>
          </w:p>
        </w:tc>
        <w:tc>
          <w:tcPr>
            <w:tcW w:w="0" w:type="auto"/>
            <w:vAlign w:val="center"/>
            <w:hideMark/>
          </w:tcPr>
          <w:p w14:paraId="0BE8F4A2" w14:textId="77777777" w:rsidR="00B13068" w:rsidRPr="00343D56" w:rsidRDefault="00B13068" w:rsidP="002B637B">
            <w:pPr>
              <w:spacing w:after="0"/>
              <w:jc w:val="right"/>
              <w:rPr>
                <w:rFonts w:cs="Arial"/>
                <w:color w:val="000000"/>
                <w:sz w:val="16"/>
                <w:szCs w:val="16"/>
                <w:lang w:eastAsia="es-PE"/>
              </w:rPr>
            </w:pPr>
            <w:r w:rsidRPr="00343D56">
              <w:rPr>
                <w:rFonts w:cs="Arial"/>
                <w:color w:val="000000"/>
                <w:sz w:val="16"/>
                <w:szCs w:val="16"/>
                <w:lang w:eastAsia="es-PE"/>
              </w:rPr>
              <w:t xml:space="preserve">                    4,450.00 </w:t>
            </w:r>
          </w:p>
        </w:tc>
        <w:tc>
          <w:tcPr>
            <w:tcW w:w="0" w:type="auto"/>
            <w:vAlign w:val="center"/>
            <w:hideMark/>
          </w:tcPr>
          <w:p w14:paraId="02FDAB9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1,706.08 </w:t>
            </w:r>
          </w:p>
        </w:tc>
        <w:tc>
          <w:tcPr>
            <w:tcW w:w="0" w:type="auto"/>
            <w:vAlign w:val="center"/>
            <w:hideMark/>
          </w:tcPr>
          <w:p w14:paraId="58AC974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4,016.47 </w:t>
            </w:r>
          </w:p>
        </w:tc>
        <w:tc>
          <w:tcPr>
            <w:tcW w:w="0" w:type="auto"/>
            <w:vAlign w:val="center"/>
            <w:hideMark/>
          </w:tcPr>
          <w:p w14:paraId="703517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82,329.53 </w:t>
            </w:r>
          </w:p>
        </w:tc>
      </w:tr>
      <w:tr w:rsidR="00B13068" w:rsidRPr="00343D56" w14:paraId="61FEBE94" w14:textId="77777777" w:rsidTr="001052BE">
        <w:trPr>
          <w:trHeight w:val="621"/>
        </w:trPr>
        <w:tc>
          <w:tcPr>
            <w:tcW w:w="0" w:type="auto"/>
            <w:shd w:val="clear" w:color="E7E6E6" w:fill="E7E6E6"/>
            <w:vAlign w:val="center"/>
            <w:hideMark/>
          </w:tcPr>
          <w:p w14:paraId="093DBDE4"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4: </w:t>
            </w:r>
            <w:r w:rsidRPr="00343D56">
              <w:rPr>
                <w:rFonts w:ascii="Calibri" w:hAnsi="Calibri" w:cs="Calibri"/>
                <w:color w:val="000000"/>
                <w:sz w:val="16"/>
                <w:szCs w:val="16"/>
                <w:lang w:eastAsia="es-PE"/>
              </w:rPr>
              <w:t>Pequeños agricultores reciben mayores beneficios netos como resultado de que comerciantes y consumidores compran más commodities libres de deforestación (CLD).</w:t>
            </w:r>
          </w:p>
        </w:tc>
        <w:tc>
          <w:tcPr>
            <w:tcW w:w="0" w:type="auto"/>
            <w:shd w:val="clear" w:color="E7E6E6" w:fill="E7E6E6"/>
            <w:vAlign w:val="center"/>
            <w:hideMark/>
          </w:tcPr>
          <w:p w14:paraId="20AA77A5"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3,516,606.00 </w:t>
            </w:r>
          </w:p>
        </w:tc>
        <w:tc>
          <w:tcPr>
            <w:tcW w:w="0" w:type="auto"/>
            <w:shd w:val="clear" w:color="E7E6E6" w:fill="E7E6E6"/>
            <w:vAlign w:val="center"/>
            <w:hideMark/>
          </w:tcPr>
          <w:p w14:paraId="46BCC80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shd w:val="clear" w:color="E7E6E6" w:fill="E7E6E6"/>
            <w:vAlign w:val="center"/>
            <w:hideMark/>
          </w:tcPr>
          <w:p w14:paraId="5352EBF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479,545.41 </w:t>
            </w:r>
          </w:p>
        </w:tc>
        <w:tc>
          <w:tcPr>
            <w:tcW w:w="0" w:type="auto"/>
            <w:shd w:val="clear" w:color="E7E6E6" w:fill="E7E6E6"/>
            <w:vAlign w:val="center"/>
            <w:hideMark/>
          </w:tcPr>
          <w:p w14:paraId="2F3355B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6,239.12 </w:t>
            </w:r>
          </w:p>
        </w:tc>
        <w:tc>
          <w:tcPr>
            <w:tcW w:w="0" w:type="auto"/>
            <w:shd w:val="clear" w:color="E7E6E6" w:fill="E7E6E6"/>
            <w:vAlign w:val="center"/>
            <w:hideMark/>
          </w:tcPr>
          <w:p w14:paraId="5F6D5341"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6,239.12 </w:t>
            </w:r>
          </w:p>
        </w:tc>
        <w:tc>
          <w:tcPr>
            <w:tcW w:w="0" w:type="auto"/>
            <w:shd w:val="clear" w:color="E7E6E6" w:fill="E7E6E6"/>
            <w:vAlign w:val="center"/>
            <w:hideMark/>
          </w:tcPr>
          <w:p w14:paraId="001FE0C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3,510,366.88 </w:t>
            </w:r>
          </w:p>
        </w:tc>
      </w:tr>
      <w:tr w:rsidR="00B13068" w:rsidRPr="00343D56" w14:paraId="6E1BFA14" w14:textId="77777777" w:rsidTr="001052BE">
        <w:trPr>
          <w:trHeight w:val="351"/>
        </w:trPr>
        <w:tc>
          <w:tcPr>
            <w:tcW w:w="0" w:type="auto"/>
            <w:vAlign w:val="center"/>
            <w:hideMark/>
          </w:tcPr>
          <w:p w14:paraId="04E22BE2"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2.2.1: </w:t>
            </w:r>
            <w:r w:rsidRPr="00343D56">
              <w:rPr>
                <w:rFonts w:ascii="Calibri" w:hAnsi="Calibri" w:cs="Calibri"/>
                <w:color w:val="000000"/>
                <w:sz w:val="16"/>
                <w:szCs w:val="16"/>
                <w:lang w:eastAsia="es-PE"/>
              </w:rPr>
              <w:t>Planes de negocios para pequeños y medianos productores agrupados en organizaciones de productores, que incluyen paquetes tecnológicos de CLD.</w:t>
            </w:r>
          </w:p>
        </w:tc>
        <w:tc>
          <w:tcPr>
            <w:tcW w:w="0" w:type="auto"/>
            <w:vAlign w:val="center"/>
            <w:hideMark/>
          </w:tcPr>
          <w:p w14:paraId="73BA1F1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2,797,714.00 </w:t>
            </w:r>
          </w:p>
        </w:tc>
        <w:tc>
          <w:tcPr>
            <w:tcW w:w="0" w:type="auto"/>
            <w:vAlign w:val="center"/>
            <w:hideMark/>
          </w:tcPr>
          <w:p w14:paraId="4648AD9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D3794A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270,487.64 </w:t>
            </w:r>
          </w:p>
        </w:tc>
        <w:tc>
          <w:tcPr>
            <w:tcW w:w="0" w:type="auto"/>
            <w:vAlign w:val="center"/>
            <w:hideMark/>
          </w:tcPr>
          <w:p w14:paraId="084DAF1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2743E87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339090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2,797,714.00 </w:t>
            </w:r>
          </w:p>
        </w:tc>
      </w:tr>
      <w:tr w:rsidR="00B13068" w:rsidRPr="00343D56" w14:paraId="0CCC832B" w14:textId="77777777" w:rsidTr="001052BE">
        <w:trPr>
          <w:trHeight w:val="919"/>
        </w:trPr>
        <w:tc>
          <w:tcPr>
            <w:tcW w:w="0" w:type="auto"/>
            <w:vAlign w:val="center"/>
            <w:hideMark/>
          </w:tcPr>
          <w:p w14:paraId="4255B572"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2.2.2: </w:t>
            </w:r>
            <w:r w:rsidRPr="00343D56">
              <w:rPr>
                <w:rFonts w:ascii="Calibri" w:hAnsi="Calibri" w:cs="Calibri"/>
                <w:color w:val="000000"/>
                <w:sz w:val="16"/>
                <w:szCs w:val="16"/>
                <w:lang w:eastAsia="es-PE"/>
              </w:rPr>
              <w:t>Estrategia financieras a nivel de paisaje para productores que apoyará a los modelos de CLD, con equilibrio de género, accesibles, asequibles y una cartera de inversiones en oportunidades de CLD disponibles para las instituciones financieras, compradores e inversores.</w:t>
            </w:r>
          </w:p>
        </w:tc>
        <w:tc>
          <w:tcPr>
            <w:tcW w:w="0" w:type="auto"/>
            <w:vAlign w:val="center"/>
            <w:hideMark/>
          </w:tcPr>
          <w:p w14:paraId="6D1EAAB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302,446.00 </w:t>
            </w:r>
          </w:p>
        </w:tc>
        <w:tc>
          <w:tcPr>
            <w:tcW w:w="0" w:type="auto"/>
            <w:vAlign w:val="center"/>
            <w:hideMark/>
          </w:tcPr>
          <w:p w14:paraId="4C87C8D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1031510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50,433.63 </w:t>
            </w:r>
          </w:p>
        </w:tc>
        <w:tc>
          <w:tcPr>
            <w:tcW w:w="0" w:type="auto"/>
            <w:vAlign w:val="center"/>
            <w:hideMark/>
          </w:tcPr>
          <w:p w14:paraId="4EFD45D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6,239.12 </w:t>
            </w:r>
          </w:p>
        </w:tc>
        <w:tc>
          <w:tcPr>
            <w:tcW w:w="0" w:type="auto"/>
            <w:vAlign w:val="center"/>
            <w:hideMark/>
          </w:tcPr>
          <w:p w14:paraId="656E197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6,239.12 </w:t>
            </w:r>
          </w:p>
        </w:tc>
        <w:tc>
          <w:tcPr>
            <w:tcW w:w="0" w:type="auto"/>
            <w:vAlign w:val="center"/>
            <w:hideMark/>
          </w:tcPr>
          <w:p w14:paraId="4BD3861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296,206.88 </w:t>
            </w:r>
          </w:p>
        </w:tc>
      </w:tr>
      <w:tr w:rsidR="00B13068" w:rsidRPr="00343D56" w14:paraId="1628344E" w14:textId="77777777" w:rsidTr="001052BE">
        <w:trPr>
          <w:trHeight w:val="1479"/>
        </w:trPr>
        <w:tc>
          <w:tcPr>
            <w:tcW w:w="0" w:type="auto"/>
            <w:vAlign w:val="center"/>
            <w:hideMark/>
          </w:tcPr>
          <w:p w14:paraId="1CD0B56E"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2.2.3: </w:t>
            </w:r>
            <w:r w:rsidRPr="00343D56">
              <w:rPr>
                <w:rFonts w:ascii="Calibri" w:hAnsi="Calibri" w:cs="Calibri"/>
                <w:color w:val="000000"/>
                <w:sz w:val="16"/>
                <w:szCs w:val="16"/>
                <w:lang w:eastAsia="es-PE"/>
              </w:rPr>
              <w:t>Análisis de impacto económico focalizado a nivel de commodities / paisaje a fin de apoyar el establecimiento de instrumentos financieros, asociaciones con el sector privado y reformas de políticas relacionadas con CLD que incluyen aspectos de género, interculturales y transgeneracionales.</w:t>
            </w:r>
          </w:p>
        </w:tc>
        <w:tc>
          <w:tcPr>
            <w:tcW w:w="0" w:type="auto"/>
            <w:vAlign w:val="center"/>
            <w:hideMark/>
          </w:tcPr>
          <w:p w14:paraId="0DCD084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416,446.00 </w:t>
            </w:r>
          </w:p>
        </w:tc>
        <w:tc>
          <w:tcPr>
            <w:tcW w:w="0" w:type="auto"/>
            <w:vAlign w:val="center"/>
            <w:hideMark/>
          </w:tcPr>
          <w:p w14:paraId="0DC2E13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8478E0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158,624.14 </w:t>
            </w:r>
          </w:p>
        </w:tc>
        <w:tc>
          <w:tcPr>
            <w:tcW w:w="0" w:type="auto"/>
            <w:vAlign w:val="center"/>
            <w:hideMark/>
          </w:tcPr>
          <w:p w14:paraId="3C210E4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5B2D31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FCFE8F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416,446.00 </w:t>
            </w:r>
          </w:p>
        </w:tc>
      </w:tr>
      <w:tr w:rsidR="00B13068" w:rsidRPr="00343D56" w14:paraId="3496AC88" w14:textId="77777777" w:rsidTr="001052BE">
        <w:trPr>
          <w:trHeight w:val="414"/>
        </w:trPr>
        <w:tc>
          <w:tcPr>
            <w:tcW w:w="0" w:type="auto"/>
            <w:shd w:val="clear" w:color="D9E2F3" w:fill="D9E2F3"/>
            <w:vAlign w:val="center"/>
            <w:hideMark/>
          </w:tcPr>
          <w:p w14:paraId="1F6B4438"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Componente 3:</w:t>
            </w:r>
            <w:r w:rsidRPr="00343D56">
              <w:rPr>
                <w:rFonts w:cs="Arial"/>
                <w:color w:val="000000"/>
                <w:sz w:val="16"/>
                <w:szCs w:val="16"/>
                <w:lang w:eastAsia="es-PE"/>
              </w:rPr>
              <w:t xml:space="preserve"> </w:t>
            </w:r>
            <w:r w:rsidRPr="00343D56">
              <w:rPr>
                <w:rFonts w:ascii="Calibri" w:hAnsi="Calibri" w:cs="Calibri"/>
                <w:color w:val="000000"/>
                <w:sz w:val="16"/>
                <w:szCs w:val="16"/>
                <w:lang w:eastAsia="es-PE"/>
              </w:rPr>
              <w:t>Reducir la pérdida de biodiversidad y restaurar ecosistemas, BAVC y hábitats naturales.</w:t>
            </w:r>
          </w:p>
        </w:tc>
        <w:tc>
          <w:tcPr>
            <w:tcW w:w="0" w:type="auto"/>
            <w:shd w:val="clear" w:color="D9E2F3" w:fill="D9E2F3"/>
            <w:vAlign w:val="center"/>
            <w:hideMark/>
          </w:tcPr>
          <w:p w14:paraId="7124CE7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3,773,045.00 </w:t>
            </w:r>
          </w:p>
        </w:tc>
        <w:tc>
          <w:tcPr>
            <w:tcW w:w="0" w:type="auto"/>
            <w:shd w:val="clear" w:color="D9E2F3" w:fill="D9E2F3"/>
            <w:vAlign w:val="center"/>
            <w:hideMark/>
          </w:tcPr>
          <w:p w14:paraId="2C10A47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46,228.32 </w:t>
            </w:r>
          </w:p>
        </w:tc>
        <w:tc>
          <w:tcPr>
            <w:tcW w:w="0" w:type="auto"/>
            <w:shd w:val="clear" w:color="D9E2F3" w:fill="D9E2F3"/>
            <w:vAlign w:val="center"/>
            <w:hideMark/>
          </w:tcPr>
          <w:p w14:paraId="15811902"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586,449.42 </w:t>
            </w:r>
          </w:p>
        </w:tc>
        <w:tc>
          <w:tcPr>
            <w:tcW w:w="0" w:type="auto"/>
            <w:shd w:val="clear" w:color="D9E2F3" w:fill="D9E2F3"/>
            <w:vAlign w:val="center"/>
            <w:hideMark/>
          </w:tcPr>
          <w:p w14:paraId="14A91DA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233,786.01 </w:t>
            </w:r>
          </w:p>
        </w:tc>
        <w:tc>
          <w:tcPr>
            <w:tcW w:w="0" w:type="auto"/>
            <w:shd w:val="clear" w:color="D9E2F3" w:fill="D9E2F3"/>
            <w:vAlign w:val="center"/>
            <w:hideMark/>
          </w:tcPr>
          <w:p w14:paraId="36E40EF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280,014.33 </w:t>
            </w:r>
          </w:p>
        </w:tc>
        <w:tc>
          <w:tcPr>
            <w:tcW w:w="0" w:type="auto"/>
            <w:shd w:val="clear" w:color="D9E2F3" w:fill="D9E2F3"/>
            <w:vAlign w:val="center"/>
            <w:hideMark/>
          </w:tcPr>
          <w:p w14:paraId="661E5458"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3,493,030.67 </w:t>
            </w:r>
          </w:p>
        </w:tc>
      </w:tr>
      <w:tr w:rsidR="00B13068" w:rsidRPr="00343D56" w14:paraId="6B1FBBB8" w14:textId="77777777" w:rsidTr="002B637B">
        <w:trPr>
          <w:trHeight w:val="1900"/>
        </w:trPr>
        <w:tc>
          <w:tcPr>
            <w:tcW w:w="0" w:type="auto"/>
            <w:shd w:val="clear" w:color="E7E6E6" w:fill="E7E6E6"/>
            <w:vAlign w:val="center"/>
            <w:hideMark/>
          </w:tcPr>
          <w:p w14:paraId="13659ADA"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5: </w:t>
            </w:r>
            <w:r w:rsidRPr="00343D56">
              <w:rPr>
                <w:rFonts w:ascii="Calibri" w:hAnsi="Calibri" w:cs="Calibri"/>
                <w:color w:val="000000"/>
                <w:sz w:val="16"/>
                <w:szCs w:val="16"/>
                <w:lang w:eastAsia="es-PE"/>
              </w:rPr>
              <w:t>Las prácticas de conservación y restauración de hábitats / ecosistemas contribuyen a reducir las presiones sobre las áreas protegidas (ANP) y los bosques de alto valor de conservación (BAVC), promueven la conectividad y establecen corredores de vida silvestre en áreas degradadas restauradas29 y áreas productivas en riesgo de degradación.</w:t>
            </w:r>
          </w:p>
        </w:tc>
        <w:tc>
          <w:tcPr>
            <w:tcW w:w="0" w:type="auto"/>
            <w:shd w:val="clear" w:color="E7E6E6" w:fill="E7E6E6"/>
            <w:vAlign w:val="center"/>
            <w:hideMark/>
          </w:tcPr>
          <w:p w14:paraId="3BF24E9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2,527,545.00 </w:t>
            </w:r>
          </w:p>
        </w:tc>
        <w:tc>
          <w:tcPr>
            <w:tcW w:w="0" w:type="auto"/>
            <w:shd w:val="clear" w:color="E7E6E6" w:fill="E7E6E6"/>
            <w:vAlign w:val="center"/>
            <w:hideMark/>
          </w:tcPr>
          <w:p w14:paraId="59BD2BC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46,228.32 </w:t>
            </w:r>
          </w:p>
        </w:tc>
        <w:tc>
          <w:tcPr>
            <w:tcW w:w="0" w:type="auto"/>
            <w:shd w:val="clear" w:color="E7E6E6" w:fill="E7E6E6"/>
            <w:vAlign w:val="center"/>
            <w:hideMark/>
          </w:tcPr>
          <w:p w14:paraId="49454AF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512,242.25 </w:t>
            </w:r>
          </w:p>
        </w:tc>
        <w:tc>
          <w:tcPr>
            <w:tcW w:w="0" w:type="auto"/>
            <w:shd w:val="clear" w:color="E7E6E6" w:fill="E7E6E6"/>
            <w:vAlign w:val="center"/>
            <w:hideMark/>
          </w:tcPr>
          <w:p w14:paraId="025A694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233,756.32 </w:t>
            </w:r>
          </w:p>
        </w:tc>
        <w:tc>
          <w:tcPr>
            <w:tcW w:w="0" w:type="auto"/>
            <w:shd w:val="clear" w:color="E7E6E6" w:fill="E7E6E6"/>
            <w:vAlign w:val="center"/>
            <w:hideMark/>
          </w:tcPr>
          <w:p w14:paraId="6185D0C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279,984.64 </w:t>
            </w:r>
          </w:p>
        </w:tc>
        <w:tc>
          <w:tcPr>
            <w:tcW w:w="0" w:type="auto"/>
            <w:shd w:val="clear" w:color="E7E6E6" w:fill="E7E6E6"/>
            <w:vAlign w:val="center"/>
            <w:hideMark/>
          </w:tcPr>
          <w:p w14:paraId="65A7A2D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2,247,560.36 </w:t>
            </w:r>
          </w:p>
        </w:tc>
      </w:tr>
      <w:tr w:rsidR="00B13068" w:rsidRPr="00343D56" w14:paraId="1A0D454E" w14:textId="77777777" w:rsidTr="001052BE">
        <w:trPr>
          <w:trHeight w:val="463"/>
        </w:trPr>
        <w:tc>
          <w:tcPr>
            <w:tcW w:w="0" w:type="auto"/>
            <w:vAlign w:val="center"/>
            <w:hideMark/>
          </w:tcPr>
          <w:p w14:paraId="3B716DF7"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3.1.1: </w:t>
            </w:r>
            <w:r w:rsidRPr="00343D56">
              <w:rPr>
                <w:rFonts w:ascii="Calibri" w:hAnsi="Calibri" w:cs="Calibri"/>
                <w:color w:val="000000"/>
                <w:sz w:val="16"/>
                <w:szCs w:val="16"/>
                <w:lang w:eastAsia="es-PE"/>
              </w:rPr>
              <w:t xml:space="preserve"> Identificación, categorización y priorización a nivel regional de áreas degradadas, utilizando la metodología del MINAM (2022) incluyendo BAVC   y corredores de conectividad.</w:t>
            </w:r>
          </w:p>
        </w:tc>
        <w:tc>
          <w:tcPr>
            <w:tcW w:w="0" w:type="auto"/>
            <w:vAlign w:val="center"/>
            <w:hideMark/>
          </w:tcPr>
          <w:p w14:paraId="09947AC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312,000.00 </w:t>
            </w:r>
          </w:p>
        </w:tc>
        <w:tc>
          <w:tcPr>
            <w:tcW w:w="0" w:type="auto"/>
            <w:vAlign w:val="center"/>
            <w:hideMark/>
          </w:tcPr>
          <w:p w14:paraId="203689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635.71 </w:t>
            </w:r>
          </w:p>
        </w:tc>
        <w:tc>
          <w:tcPr>
            <w:tcW w:w="0" w:type="auto"/>
            <w:vAlign w:val="center"/>
            <w:hideMark/>
          </w:tcPr>
          <w:p w14:paraId="6744996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64,411.65 </w:t>
            </w:r>
          </w:p>
        </w:tc>
        <w:tc>
          <w:tcPr>
            <w:tcW w:w="0" w:type="auto"/>
            <w:vAlign w:val="center"/>
            <w:hideMark/>
          </w:tcPr>
          <w:p w14:paraId="4DBD27C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47,819.69 </w:t>
            </w:r>
          </w:p>
        </w:tc>
        <w:tc>
          <w:tcPr>
            <w:tcW w:w="0" w:type="auto"/>
            <w:vAlign w:val="center"/>
            <w:hideMark/>
          </w:tcPr>
          <w:p w14:paraId="6CACF68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48,455.40 </w:t>
            </w:r>
          </w:p>
        </w:tc>
        <w:tc>
          <w:tcPr>
            <w:tcW w:w="0" w:type="auto"/>
            <w:vAlign w:val="center"/>
            <w:hideMark/>
          </w:tcPr>
          <w:p w14:paraId="427B94E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263,544.60 </w:t>
            </w:r>
          </w:p>
        </w:tc>
      </w:tr>
      <w:tr w:rsidR="00B13068" w:rsidRPr="00343D56" w14:paraId="2CA74CF0" w14:textId="77777777" w:rsidTr="001052BE">
        <w:trPr>
          <w:trHeight w:val="351"/>
        </w:trPr>
        <w:tc>
          <w:tcPr>
            <w:tcW w:w="0" w:type="auto"/>
            <w:vAlign w:val="center"/>
            <w:hideMark/>
          </w:tcPr>
          <w:p w14:paraId="0A2888D2"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3.1.2: </w:t>
            </w:r>
            <w:r w:rsidRPr="00343D56">
              <w:rPr>
                <w:rFonts w:ascii="Calibri" w:hAnsi="Calibri" w:cs="Calibri"/>
                <w:color w:val="000000"/>
                <w:sz w:val="16"/>
                <w:szCs w:val="16"/>
                <w:lang w:eastAsia="es-PE"/>
              </w:rPr>
              <w:t>Implementación de acciones de restauración directa en tierras agrícolas, bosques y tierras forestales, entre otros</w:t>
            </w:r>
          </w:p>
        </w:tc>
        <w:tc>
          <w:tcPr>
            <w:tcW w:w="0" w:type="auto"/>
            <w:vAlign w:val="center"/>
            <w:hideMark/>
          </w:tcPr>
          <w:p w14:paraId="50159EB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775,295.00 </w:t>
            </w:r>
          </w:p>
        </w:tc>
        <w:tc>
          <w:tcPr>
            <w:tcW w:w="0" w:type="auto"/>
            <w:vAlign w:val="center"/>
            <w:hideMark/>
          </w:tcPr>
          <w:p w14:paraId="687644F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1C41A9C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118,661.80 </w:t>
            </w:r>
          </w:p>
        </w:tc>
        <w:tc>
          <w:tcPr>
            <w:tcW w:w="0" w:type="auto"/>
            <w:vAlign w:val="center"/>
            <w:hideMark/>
          </w:tcPr>
          <w:p w14:paraId="1E1BFC0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11,498.89 </w:t>
            </w:r>
          </w:p>
        </w:tc>
        <w:tc>
          <w:tcPr>
            <w:tcW w:w="0" w:type="auto"/>
            <w:vAlign w:val="center"/>
            <w:hideMark/>
          </w:tcPr>
          <w:p w14:paraId="32A0A19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11,498.89 </w:t>
            </w:r>
          </w:p>
        </w:tc>
        <w:tc>
          <w:tcPr>
            <w:tcW w:w="0" w:type="auto"/>
            <w:vAlign w:val="center"/>
            <w:hideMark/>
          </w:tcPr>
          <w:p w14:paraId="5763D9C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763,796.11 </w:t>
            </w:r>
          </w:p>
        </w:tc>
      </w:tr>
      <w:tr w:rsidR="00B13068" w:rsidRPr="00343D56" w14:paraId="56CE6BD5" w14:textId="77777777" w:rsidTr="001052BE">
        <w:trPr>
          <w:trHeight w:val="351"/>
        </w:trPr>
        <w:tc>
          <w:tcPr>
            <w:tcW w:w="0" w:type="auto"/>
            <w:vAlign w:val="center"/>
            <w:hideMark/>
          </w:tcPr>
          <w:p w14:paraId="293F6742"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3.1.3: </w:t>
            </w:r>
            <w:r w:rsidRPr="00343D56">
              <w:rPr>
                <w:rFonts w:ascii="Calibri" w:hAnsi="Calibri" w:cs="Calibri"/>
                <w:color w:val="000000"/>
                <w:sz w:val="16"/>
                <w:szCs w:val="16"/>
                <w:lang w:eastAsia="es-PE"/>
              </w:rPr>
              <w:t>Implementación de acciones de restauración sistémica como: planes de restauración regionales, carteras de proyectos de inversión pública en restauración, promoción de MERESE, entre otros</w:t>
            </w:r>
          </w:p>
        </w:tc>
        <w:tc>
          <w:tcPr>
            <w:tcW w:w="0" w:type="auto"/>
            <w:vAlign w:val="center"/>
            <w:hideMark/>
          </w:tcPr>
          <w:p w14:paraId="0069212D"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72,000.00 </w:t>
            </w:r>
          </w:p>
        </w:tc>
        <w:tc>
          <w:tcPr>
            <w:tcW w:w="0" w:type="auto"/>
            <w:vAlign w:val="center"/>
            <w:hideMark/>
          </w:tcPr>
          <w:p w14:paraId="5C2A78CA"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6468B52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69,772.54 </w:t>
            </w:r>
          </w:p>
        </w:tc>
        <w:tc>
          <w:tcPr>
            <w:tcW w:w="0" w:type="auto"/>
            <w:vAlign w:val="center"/>
            <w:hideMark/>
          </w:tcPr>
          <w:p w14:paraId="1FF9696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36,216.36 </w:t>
            </w:r>
          </w:p>
        </w:tc>
        <w:tc>
          <w:tcPr>
            <w:tcW w:w="0" w:type="auto"/>
            <w:vAlign w:val="center"/>
            <w:hideMark/>
          </w:tcPr>
          <w:p w14:paraId="3E4CCFD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36,216.36 </w:t>
            </w:r>
          </w:p>
        </w:tc>
        <w:tc>
          <w:tcPr>
            <w:tcW w:w="0" w:type="auto"/>
            <w:vAlign w:val="center"/>
            <w:hideMark/>
          </w:tcPr>
          <w:p w14:paraId="23CEFD0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35,783.64 </w:t>
            </w:r>
          </w:p>
        </w:tc>
      </w:tr>
      <w:tr w:rsidR="00B13068" w:rsidRPr="00343D56" w14:paraId="4DBD592C" w14:textId="77777777" w:rsidTr="001052BE">
        <w:trPr>
          <w:trHeight w:val="634"/>
        </w:trPr>
        <w:tc>
          <w:tcPr>
            <w:tcW w:w="0" w:type="auto"/>
            <w:vAlign w:val="center"/>
            <w:hideMark/>
          </w:tcPr>
          <w:p w14:paraId="480BA63E"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lastRenderedPageBreak/>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3.1.4: </w:t>
            </w:r>
            <w:r w:rsidRPr="00343D56">
              <w:rPr>
                <w:rFonts w:ascii="Calibri" w:hAnsi="Calibri" w:cs="Calibri"/>
                <w:color w:val="000000"/>
                <w:sz w:val="16"/>
                <w:szCs w:val="16"/>
                <w:lang w:eastAsia="es-PE"/>
              </w:rPr>
              <w:t>Programa de fortalecimiento de capacidades para restauración (directa y sistémica) con enfoques de género, etnia y equidad y gestión de riesgos</w:t>
            </w:r>
          </w:p>
        </w:tc>
        <w:tc>
          <w:tcPr>
            <w:tcW w:w="0" w:type="auto"/>
            <w:vAlign w:val="center"/>
            <w:hideMark/>
          </w:tcPr>
          <w:p w14:paraId="01F5668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72,000.00 </w:t>
            </w:r>
          </w:p>
        </w:tc>
        <w:tc>
          <w:tcPr>
            <w:tcW w:w="0" w:type="auto"/>
            <w:vAlign w:val="center"/>
            <w:hideMark/>
          </w:tcPr>
          <w:p w14:paraId="3E6AFFE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29E7A62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99,358.67 </w:t>
            </w:r>
          </w:p>
        </w:tc>
        <w:tc>
          <w:tcPr>
            <w:tcW w:w="0" w:type="auto"/>
            <w:vAlign w:val="center"/>
            <w:hideMark/>
          </w:tcPr>
          <w:p w14:paraId="36DEB66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15,885.89 </w:t>
            </w:r>
          </w:p>
        </w:tc>
        <w:tc>
          <w:tcPr>
            <w:tcW w:w="0" w:type="auto"/>
            <w:vAlign w:val="center"/>
            <w:hideMark/>
          </w:tcPr>
          <w:p w14:paraId="1907A39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15,885.89 </w:t>
            </w:r>
          </w:p>
        </w:tc>
        <w:tc>
          <w:tcPr>
            <w:tcW w:w="0" w:type="auto"/>
            <w:vAlign w:val="center"/>
            <w:hideMark/>
          </w:tcPr>
          <w:p w14:paraId="551CD25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56,114.11 </w:t>
            </w:r>
          </w:p>
        </w:tc>
      </w:tr>
      <w:tr w:rsidR="00B13068" w:rsidRPr="00343D56" w14:paraId="47947FDF" w14:textId="77777777" w:rsidTr="001052BE">
        <w:trPr>
          <w:trHeight w:val="774"/>
        </w:trPr>
        <w:tc>
          <w:tcPr>
            <w:tcW w:w="0" w:type="auto"/>
            <w:vAlign w:val="center"/>
            <w:hideMark/>
          </w:tcPr>
          <w:p w14:paraId="7412CE77"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3.1.5: </w:t>
            </w:r>
            <w:r w:rsidRPr="00343D56">
              <w:rPr>
                <w:rFonts w:ascii="Calibri" w:hAnsi="Calibri" w:cs="Calibri"/>
                <w:color w:val="000000"/>
                <w:sz w:val="16"/>
                <w:szCs w:val="16"/>
                <w:lang w:eastAsia="es-PE"/>
              </w:rPr>
              <w:t>Evaluación de las necesidades financieras para cubrir los costos de restauración de los ecosistemas, y una estrategia para la sostenibilidad financiera que incluye el aumento del presupuesto de GORES</w:t>
            </w:r>
          </w:p>
        </w:tc>
        <w:tc>
          <w:tcPr>
            <w:tcW w:w="0" w:type="auto"/>
            <w:vAlign w:val="center"/>
            <w:hideMark/>
          </w:tcPr>
          <w:p w14:paraId="1087912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84,000.00 </w:t>
            </w:r>
          </w:p>
        </w:tc>
        <w:tc>
          <w:tcPr>
            <w:tcW w:w="0" w:type="auto"/>
            <w:vAlign w:val="center"/>
            <w:hideMark/>
          </w:tcPr>
          <w:p w14:paraId="3BD7A06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A30EA6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20,422.40 </w:t>
            </w:r>
          </w:p>
        </w:tc>
        <w:tc>
          <w:tcPr>
            <w:tcW w:w="0" w:type="auto"/>
            <w:vAlign w:val="center"/>
            <w:hideMark/>
          </w:tcPr>
          <w:p w14:paraId="219D559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1,406.81 </w:t>
            </w:r>
          </w:p>
        </w:tc>
        <w:tc>
          <w:tcPr>
            <w:tcW w:w="0" w:type="auto"/>
            <w:vAlign w:val="center"/>
            <w:hideMark/>
          </w:tcPr>
          <w:p w14:paraId="2BE9A2C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1,406.81 </w:t>
            </w:r>
          </w:p>
        </w:tc>
        <w:tc>
          <w:tcPr>
            <w:tcW w:w="0" w:type="auto"/>
            <w:vAlign w:val="center"/>
            <w:hideMark/>
          </w:tcPr>
          <w:p w14:paraId="3D17729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82,593.19 </w:t>
            </w:r>
          </w:p>
        </w:tc>
      </w:tr>
      <w:tr w:rsidR="00B13068" w:rsidRPr="00343D56" w14:paraId="690DA70A" w14:textId="77777777" w:rsidTr="002B637B">
        <w:trPr>
          <w:trHeight w:val="360"/>
        </w:trPr>
        <w:tc>
          <w:tcPr>
            <w:tcW w:w="0" w:type="auto"/>
            <w:vAlign w:val="center"/>
            <w:hideMark/>
          </w:tcPr>
          <w:p w14:paraId="26FA6681" w14:textId="1489ED51"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Responsable del Componente 3 (66 </w:t>
            </w:r>
            <w:r w:rsidR="00E44CD7" w:rsidRPr="00343D56">
              <w:rPr>
                <w:rFonts w:ascii="Calibri" w:hAnsi="Calibri" w:cs="Calibri"/>
                <w:color w:val="000000"/>
                <w:sz w:val="16"/>
                <w:szCs w:val="16"/>
                <w:lang w:eastAsia="es-PE"/>
              </w:rPr>
              <w:t xml:space="preserve">meses)  </w:t>
            </w:r>
          </w:p>
        </w:tc>
        <w:tc>
          <w:tcPr>
            <w:tcW w:w="0" w:type="auto"/>
            <w:vAlign w:val="center"/>
            <w:hideMark/>
          </w:tcPr>
          <w:p w14:paraId="6F3B2A3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288,750.00 </w:t>
            </w:r>
          </w:p>
        </w:tc>
        <w:tc>
          <w:tcPr>
            <w:tcW w:w="0" w:type="auto"/>
            <w:vAlign w:val="center"/>
            <w:hideMark/>
          </w:tcPr>
          <w:p w14:paraId="4BCE970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19,355.98 </w:t>
            </w:r>
          </w:p>
        </w:tc>
        <w:tc>
          <w:tcPr>
            <w:tcW w:w="0" w:type="auto"/>
            <w:vAlign w:val="center"/>
            <w:hideMark/>
          </w:tcPr>
          <w:p w14:paraId="4F83EF4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33,210.33 </w:t>
            </w:r>
          </w:p>
        </w:tc>
        <w:tc>
          <w:tcPr>
            <w:tcW w:w="0" w:type="auto"/>
            <w:vAlign w:val="center"/>
            <w:hideMark/>
          </w:tcPr>
          <w:p w14:paraId="137F88E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35,364.57 </w:t>
            </w:r>
          </w:p>
        </w:tc>
        <w:tc>
          <w:tcPr>
            <w:tcW w:w="0" w:type="auto"/>
            <w:vAlign w:val="center"/>
            <w:hideMark/>
          </w:tcPr>
          <w:p w14:paraId="1EB3E76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54,720.55 </w:t>
            </w:r>
          </w:p>
        </w:tc>
        <w:tc>
          <w:tcPr>
            <w:tcW w:w="0" w:type="auto"/>
            <w:vAlign w:val="center"/>
            <w:hideMark/>
          </w:tcPr>
          <w:p w14:paraId="76C119F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234,029.45 </w:t>
            </w:r>
          </w:p>
        </w:tc>
      </w:tr>
      <w:tr w:rsidR="00B13068" w:rsidRPr="00343D56" w14:paraId="0C99A43B" w14:textId="77777777" w:rsidTr="002B637B">
        <w:trPr>
          <w:trHeight w:val="360"/>
        </w:trPr>
        <w:tc>
          <w:tcPr>
            <w:tcW w:w="0" w:type="auto"/>
            <w:vAlign w:val="center"/>
            <w:hideMark/>
          </w:tcPr>
          <w:p w14:paraId="4BCE1F25"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Facilitador regional Amazonas</w:t>
            </w:r>
          </w:p>
        </w:tc>
        <w:tc>
          <w:tcPr>
            <w:tcW w:w="0" w:type="auto"/>
            <w:vAlign w:val="center"/>
            <w:hideMark/>
          </w:tcPr>
          <w:p w14:paraId="3D8DB99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189,000.00 </w:t>
            </w:r>
          </w:p>
        </w:tc>
        <w:tc>
          <w:tcPr>
            <w:tcW w:w="0" w:type="auto"/>
            <w:vAlign w:val="center"/>
            <w:hideMark/>
          </w:tcPr>
          <w:p w14:paraId="0115A5F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68C622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20,295.20 </w:t>
            </w:r>
          </w:p>
        </w:tc>
        <w:tc>
          <w:tcPr>
            <w:tcW w:w="0" w:type="auto"/>
            <w:vAlign w:val="center"/>
            <w:hideMark/>
          </w:tcPr>
          <w:p w14:paraId="429E23D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19,508.78 </w:t>
            </w:r>
          </w:p>
        </w:tc>
        <w:tc>
          <w:tcPr>
            <w:tcW w:w="0" w:type="auto"/>
            <w:vAlign w:val="center"/>
            <w:hideMark/>
          </w:tcPr>
          <w:p w14:paraId="47D20B2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19,508.78 </w:t>
            </w:r>
          </w:p>
        </w:tc>
        <w:tc>
          <w:tcPr>
            <w:tcW w:w="0" w:type="auto"/>
            <w:vAlign w:val="center"/>
            <w:hideMark/>
          </w:tcPr>
          <w:p w14:paraId="6003CB4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169,491.22 </w:t>
            </w:r>
          </w:p>
        </w:tc>
      </w:tr>
      <w:tr w:rsidR="00B13068" w:rsidRPr="00343D56" w14:paraId="6D6AA8D5" w14:textId="77777777" w:rsidTr="002B637B">
        <w:trPr>
          <w:trHeight w:val="360"/>
        </w:trPr>
        <w:tc>
          <w:tcPr>
            <w:tcW w:w="0" w:type="auto"/>
            <w:vAlign w:val="center"/>
            <w:hideMark/>
          </w:tcPr>
          <w:p w14:paraId="7D3E2B92"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Facilitador regional Cajamarca</w:t>
            </w:r>
          </w:p>
        </w:tc>
        <w:tc>
          <w:tcPr>
            <w:tcW w:w="0" w:type="auto"/>
            <w:vAlign w:val="center"/>
            <w:hideMark/>
          </w:tcPr>
          <w:p w14:paraId="551A6C7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189,000.00 </w:t>
            </w:r>
          </w:p>
        </w:tc>
        <w:tc>
          <w:tcPr>
            <w:tcW w:w="0" w:type="auto"/>
            <w:vAlign w:val="center"/>
            <w:hideMark/>
          </w:tcPr>
          <w:p w14:paraId="71BFBE6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3F8B04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20,295.20 </w:t>
            </w:r>
          </w:p>
        </w:tc>
        <w:tc>
          <w:tcPr>
            <w:tcW w:w="0" w:type="auto"/>
            <w:vAlign w:val="center"/>
            <w:hideMark/>
          </w:tcPr>
          <w:p w14:paraId="568FE15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14,565.11 </w:t>
            </w:r>
          </w:p>
        </w:tc>
        <w:tc>
          <w:tcPr>
            <w:tcW w:w="0" w:type="auto"/>
            <w:vAlign w:val="center"/>
            <w:hideMark/>
          </w:tcPr>
          <w:p w14:paraId="68C3E9D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14,565.11 </w:t>
            </w:r>
          </w:p>
        </w:tc>
        <w:tc>
          <w:tcPr>
            <w:tcW w:w="0" w:type="auto"/>
            <w:vAlign w:val="center"/>
            <w:hideMark/>
          </w:tcPr>
          <w:p w14:paraId="3EEEE24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174,434.89 </w:t>
            </w:r>
          </w:p>
        </w:tc>
      </w:tr>
      <w:tr w:rsidR="00B13068" w:rsidRPr="00343D56" w14:paraId="0A8BC3C9" w14:textId="77777777" w:rsidTr="002B637B">
        <w:trPr>
          <w:trHeight w:val="360"/>
        </w:trPr>
        <w:tc>
          <w:tcPr>
            <w:tcW w:w="0" w:type="auto"/>
            <w:vAlign w:val="center"/>
            <w:hideMark/>
          </w:tcPr>
          <w:p w14:paraId="2FDBEFB0"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Facilitador regional Loreto</w:t>
            </w:r>
          </w:p>
        </w:tc>
        <w:tc>
          <w:tcPr>
            <w:tcW w:w="0" w:type="auto"/>
            <w:vAlign w:val="center"/>
            <w:hideMark/>
          </w:tcPr>
          <w:p w14:paraId="2386F39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189,000.00 </w:t>
            </w:r>
          </w:p>
        </w:tc>
        <w:tc>
          <w:tcPr>
            <w:tcW w:w="0" w:type="auto"/>
            <w:vAlign w:val="center"/>
            <w:hideMark/>
          </w:tcPr>
          <w:p w14:paraId="0B3C2B6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1E5A84D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20,295.20 </w:t>
            </w:r>
          </w:p>
        </w:tc>
        <w:tc>
          <w:tcPr>
            <w:tcW w:w="0" w:type="auto"/>
            <w:vAlign w:val="center"/>
            <w:hideMark/>
          </w:tcPr>
          <w:p w14:paraId="11A7AF5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14,423.54 </w:t>
            </w:r>
          </w:p>
        </w:tc>
        <w:tc>
          <w:tcPr>
            <w:tcW w:w="0" w:type="auto"/>
            <w:vAlign w:val="center"/>
            <w:hideMark/>
          </w:tcPr>
          <w:p w14:paraId="68FF222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14,423.54 </w:t>
            </w:r>
          </w:p>
        </w:tc>
        <w:tc>
          <w:tcPr>
            <w:tcW w:w="0" w:type="auto"/>
            <w:vAlign w:val="center"/>
            <w:hideMark/>
          </w:tcPr>
          <w:p w14:paraId="1ECF1CA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174,576.46 </w:t>
            </w:r>
          </w:p>
        </w:tc>
      </w:tr>
      <w:tr w:rsidR="00B13068" w:rsidRPr="00343D56" w14:paraId="40D90323" w14:textId="77777777" w:rsidTr="002B637B">
        <w:trPr>
          <w:trHeight w:val="360"/>
        </w:trPr>
        <w:tc>
          <w:tcPr>
            <w:tcW w:w="0" w:type="auto"/>
            <w:vAlign w:val="center"/>
            <w:hideMark/>
          </w:tcPr>
          <w:p w14:paraId="2EE2AC92"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Facilitador regional San Martín</w:t>
            </w:r>
          </w:p>
        </w:tc>
        <w:tc>
          <w:tcPr>
            <w:tcW w:w="0" w:type="auto"/>
            <w:vAlign w:val="center"/>
            <w:hideMark/>
          </w:tcPr>
          <w:p w14:paraId="4903198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189,000.00 </w:t>
            </w:r>
          </w:p>
        </w:tc>
        <w:tc>
          <w:tcPr>
            <w:tcW w:w="0" w:type="auto"/>
            <w:vAlign w:val="center"/>
            <w:hideMark/>
          </w:tcPr>
          <w:p w14:paraId="16F65A1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3EB9B6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20,295.20 </w:t>
            </w:r>
          </w:p>
        </w:tc>
        <w:tc>
          <w:tcPr>
            <w:tcW w:w="0" w:type="auto"/>
            <w:vAlign w:val="center"/>
            <w:hideMark/>
          </w:tcPr>
          <w:p w14:paraId="00B5468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11,781.32 </w:t>
            </w:r>
          </w:p>
        </w:tc>
        <w:tc>
          <w:tcPr>
            <w:tcW w:w="0" w:type="auto"/>
            <w:vAlign w:val="center"/>
            <w:hideMark/>
          </w:tcPr>
          <w:p w14:paraId="455EDAB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11,781.32 </w:t>
            </w:r>
          </w:p>
        </w:tc>
        <w:tc>
          <w:tcPr>
            <w:tcW w:w="0" w:type="auto"/>
            <w:vAlign w:val="center"/>
            <w:hideMark/>
          </w:tcPr>
          <w:p w14:paraId="62FA8BF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177,218.68 </w:t>
            </w:r>
          </w:p>
        </w:tc>
      </w:tr>
      <w:tr w:rsidR="00B13068" w:rsidRPr="00343D56" w14:paraId="364D5C22" w14:textId="77777777" w:rsidTr="002B637B">
        <w:trPr>
          <w:trHeight w:val="360"/>
        </w:trPr>
        <w:tc>
          <w:tcPr>
            <w:tcW w:w="0" w:type="auto"/>
            <w:vAlign w:val="center"/>
            <w:hideMark/>
          </w:tcPr>
          <w:p w14:paraId="605A1F38"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Especialista SIG </w:t>
            </w:r>
          </w:p>
        </w:tc>
        <w:tc>
          <w:tcPr>
            <w:tcW w:w="0" w:type="auto"/>
            <w:vAlign w:val="center"/>
            <w:hideMark/>
          </w:tcPr>
          <w:p w14:paraId="7C6C887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6ABB8D3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3,598.65 </w:t>
            </w:r>
          </w:p>
        </w:tc>
        <w:tc>
          <w:tcPr>
            <w:tcW w:w="0" w:type="auto"/>
            <w:vAlign w:val="center"/>
            <w:hideMark/>
          </w:tcPr>
          <w:p w14:paraId="3824CD3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23,721.67 </w:t>
            </w:r>
          </w:p>
        </w:tc>
        <w:tc>
          <w:tcPr>
            <w:tcW w:w="0" w:type="auto"/>
            <w:vAlign w:val="center"/>
            <w:hideMark/>
          </w:tcPr>
          <w:p w14:paraId="76E2BD0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25,285.36 </w:t>
            </w:r>
          </w:p>
        </w:tc>
        <w:tc>
          <w:tcPr>
            <w:tcW w:w="0" w:type="auto"/>
            <w:vAlign w:val="center"/>
            <w:hideMark/>
          </w:tcPr>
          <w:p w14:paraId="737BB3C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28,884.01 </w:t>
            </w:r>
          </w:p>
        </w:tc>
        <w:tc>
          <w:tcPr>
            <w:tcW w:w="0" w:type="auto"/>
            <w:vAlign w:val="center"/>
            <w:hideMark/>
          </w:tcPr>
          <w:p w14:paraId="6BABBBB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28,884.01 </w:t>
            </w:r>
          </w:p>
        </w:tc>
      </w:tr>
      <w:tr w:rsidR="00B13068" w:rsidRPr="00343D56" w14:paraId="2B51B038" w14:textId="77777777" w:rsidTr="002B637B">
        <w:trPr>
          <w:trHeight w:val="360"/>
        </w:trPr>
        <w:tc>
          <w:tcPr>
            <w:tcW w:w="0" w:type="auto"/>
            <w:vAlign w:val="center"/>
            <w:hideMark/>
          </w:tcPr>
          <w:p w14:paraId="50D4598B"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Equipos</w:t>
            </w:r>
          </w:p>
        </w:tc>
        <w:tc>
          <w:tcPr>
            <w:tcW w:w="0" w:type="auto"/>
            <w:vAlign w:val="center"/>
            <w:hideMark/>
          </w:tcPr>
          <w:p w14:paraId="7D7C177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90,000.00 </w:t>
            </w:r>
          </w:p>
        </w:tc>
        <w:tc>
          <w:tcPr>
            <w:tcW w:w="0" w:type="auto"/>
            <w:vAlign w:val="center"/>
            <w:hideMark/>
          </w:tcPr>
          <w:p w14:paraId="1C9E092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22,637.98 </w:t>
            </w:r>
          </w:p>
        </w:tc>
        <w:tc>
          <w:tcPr>
            <w:tcW w:w="0" w:type="auto"/>
            <w:vAlign w:val="center"/>
            <w:hideMark/>
          </w:tcPr>
          <w:p w14:paraId="75D0EE0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1,502.37 </w:t>
            </w:r>
          </w:p>
        </w:tc>
        <w:tc>
          <w:tcPr>
            <w:tcW w:w="0" w:type="auto"/>
            <w:vAlign w:val="center"/>
            <w:hideMark/>
          </w:tcPr>
          <w:p w14:paraId="6B49A2B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02F35A3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22,637.98 </w:t>
            </w:r>
          </w:p>
        </w:tc>
        <w:tc>
          <w:tcPr>
            <w:tcW w:w="0" w:type="auto"/>
            <w:vAlign w:val="center"/>
            <w:hideMark/>
          </w:tcPr>
          <w:p w14:paraId="4CD891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67,362.02 </w:t>
            </w:r>
          </w:p>
        </w:tc>
      </w:tr>
      <w:tr w:rsidR="00B13068" w:rsidRPr="00343D56" w14:paraId="1C23F6E6" w14:textId="77777777" w:rsidTr="002B637B">
        <w:trPr>
          <w:trHeight w:val="360"/>
        </w:trPr>
        <w:tc>
          <w:tcPr>
            <w:tcW w:w="0" w:type="auto"/>
            <w:vAlign w:val="center"/>
            <w:hideMark/>
          </w:tcPr>
          <w:p w14:paraId="77E215FA"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Otros costos operativos</w:t>
            </w:r>
          </w:p>
        </w:tc>
        <w:tc>
          <w:tcPr>
            <w:tcW w:w="0" w:type="auto"/>
            <w:vAlign w:val="center"/>
            <w:hideMark/>
          </w:tcPr>
          <w:p w14:paraId="37721C8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77,500.00 </w:t>
            </w:r>
          </w:p>
        </w:tc>
        <w:tc>
          <w:tcPr>
            <w:tcW w:w="0" w:type="auto"/>
            <w:vAlign w:val="center"/>
            <w:hideMark/>
          </w:tcPr>
          <w:p w14:paraId="2FBCE82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D2388E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74799C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70E3200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450002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77,500.00 </w:t>
            </w:r>
          </w:p>
        </w:tc>
      </w:tr>
      <w:tr w:rsidR="00B13068" w:rsidRPr="00343D56" w14:paraId="2C349B12" w14:textId="77777777" w:rsidTr="001052BE">
        <w:trPr>
          <w:trHeight w:val="227"/>
        </w:trPr>
        <w:tc>
          <w:tcPr>
            <w:tcW w:w="0" w:type="auto"/>
            <w:shd w:val="clear" w:color="E7E6E6" w:fill="E7E6E6"/>
            <w:vAlign w:val="center"/>
            <w:hideMark/>
          </w:tcPr>
          <w:p w14:paraId="2AC397A5"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6: </w:t>
            </w:r>
            <w:r w:rsidRPr="00343D56">
              <w:rPr>
                <w:rFonts w:ascii="Calibri" w:hAnsi="Calibri" w:cs="Calibri"/>
                <w:color w:val="000000"/>
                <w:sz w:val="16"/>
                <w:szCs w:val="16"/>
                <w:lang w:eastAsia="es-PE"/>
              </w:rPr>
              <w:t>Los corredores de conservación han mejorado la conectividad, la conservación de la biodiversidad y los servicios ecosistémicos (SSEE).</w:t>
            </w:r>
          </w:p>
        </w:tc>
        <w:tc>
          <w:tcPr>
            <w:tcW w:w="0" w:type="auto"/>
            <w:shd w:val="clear" w:color="E7E6E6" w:fill="E7E6E6"/>
            <w:vAlign w:val="center"/>
            <w:hideMark/>
          </w:tcPr>
          <w:p w14:paraId="2C9D505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1,245,500.00 </w:t>
            </w:r>
          </w:p>
        </w:tc>
        <w:tc>
          <w:tcPr>
            <w:tcW w:w="0" w:type="auto"/>
            <w:shd w:val="clear" w:color="E7E6E6" w:fill="E7E6E6"/>
            <w:vAlign w:val="center"/>
            <w:hideMark/>
          </w:tcPr>
          <w:p w14:paraId="2A20B4D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shd w:val="clear" w:color="E7E6E6" w:fill="E7E6E6"/>
            <w:vAlign w:val="center"/>
            <w:hideMark/>
          </w:tcPr>
          <w:p w14:paraId="43C6404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74,207.17 </w:t>
            </w:r>
          </w:p>
        </w:tc>
        <w:tc>
          <w:tcPr>
            <w:tcW w:w="0" w:type="auto"/>
            <w:shd w:val="clear" w:color="E7E6E6" w:fill="E7E6E6"/>
            <w:vAlign w:val="center"/>
            <w:hideMark/>
          </w:tcPr>
          <w:p w14:paraId="279D732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29.69 </w:t>
            </w:r>
          </w:p>
        </w:tc>
        <w:tc>
          <w:tcPr>
            <w:tcW w:w="0" w:type="auto"/>
            <w:shd w:val="clear" w:color="E7E6E6" w:fill="E7E6E6"/>
            <w:vAlign w:val="center"/>
            <w:hideMark/>
          </w:tcPr>
          <w:p w14:paraId="5E58A82A"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29.69 </w:t>
            </w:r>
          </w:p>
        </w:tc>
        <w:tc>
          <w:tcPr>
            <w:tcW w:w="0" w:type="auto"/>
            <w:shd w:val="clear" w:color="E7E6E6" w:fill="E7E6E6"/>
            <w:vAlign w:val="center"/>
            <w:hideMark/>
          </w:tcPr>
          <w:p w14:paraId="0A38482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1,245,470.31 </w:t>
            </w:r>
          </w:p>
        </w:tc>
      </w:tr>
      <w:tr w:rsidR="00B13068" w:rsidRPr="00343D56" w14:paraId="337FCC7D" w14:textId="77777777" w:rsidTr="001052BE">
        <w:trPr>
          <w:trHeight w:val="282"/>
        </w:trPr>
        <w:tc>
          <w:tcPr>
            <w:tcW w:w="0" w:type="auto"/>
            <w:vAlign w:val="center"/>
            <w:hideMark/>
          </w:tcPr>
          <w:p w14:paraId="792DBD07"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3.2.1: </w:t>
            </w:r>
            <w:r w:rsidRPr="00343D56">
              <w:rPr>
                <w:rFonts w:ascii="Calibri" w:hAnsi="Calibri" w:cs="Calibri"/>
                <w:color w:val="000000"/>
                <w:sz w:val="16"/>
                <w:szCs w:val="16"/>
                <w:lang w:eastAsia="es-PE"/>
              </w:rPr>
              <w:t>Sistemas de información del nivel nacional y subnacional, fortalecidos para el monitoreo de la restauración, conectividad, conservación de la biodiversidad y los SE</w:t>
            </w:r>
          </w:p>
        </w:tc>
        <w:tc>
          <w:tcPr>
            <w:tcW w:w="0" w:type="auto"/>
            <w:vAlign w:val="center"/>
            <w:hideMark/>
          </w:tcPr>
          <w:p w14:paraId="6AB9BE4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72,000.00 </w:t>
            </w:r>
          </w:p>
        </w:tc>
        <w:tc>
          <w:tcPr>
            <w:tcW w:w="0" w:type="auto"/>
            <w:vAlign w:val="center"/>
            <w:hideMark/>
          </w:tcPr>
          <w:p w14:paraId="72C5E36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2CB14A3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31,628.89 </w:t>
            </w:r>
          </w:p>
        </w:tc>
        <w:tc>
          <w:tcPr>
            <w:tcW w:w="0" w:type="auto"/>
            <w:vAlign w:val="center"/>
            <w:hideMark/>
          </w:tcPr>
          <w:p w14:paraId="287A215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705DC0E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7BE1D8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72,000.00 </w:t>
            </w:r>
          </w:p>
        </w:tc>
      </w:tr>
      <w:tr w:rsidR="00B13068" w:rsidRPr="00343D56" w14:paraId="71CC15CE" w14:textId="77777777" w:rsidTr="002B637B">
        <w:trPr>
          <w:trHeight w:val="1470"/>
        </w:trPr>
        <w:tc>
          <w:tcPr>
            <w:tcW w:w="0" w:type="auto"/>
            <w:vAlign w:val="center"/>
            <w:hideMark/>
          </w:tcPr>
          <w:p w14:paraId="48D4A855"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3.2.2: </w:t>
            </w:r>
            <w:r w:rsidRPr="00343D56">
              <w:rPr>
                <w:rFonts w:ascii="Calibri" w:hAnsi="Calibri" w:cs="Calibri"/>
                <w:color w:val="000000"/>
                <w:sz w:val="16"/>
                <w:szCs w:val="16"/>
                <w:lang w:eastAsia="es-PE"/>
              </w:rPr>
              <w:t>Proyectos de inversión pública de tipologías de ecosistemas, restauración y conservación de suelos degradado; iniciativas de restauración privadas, acuerdos de conservación, se integran a los sistemas de monitoreo del nivel nacional y subnacional incluyendo criterios de género</w:t>
            </w:r>
          </w:p>
        </w:tc>
        <w:tc>
          <w:tcPr>
            <w:tcW w:w="0" w:type="auto"/>
            <w:vAlign w:val="center"/>
            <w:hideMark/>
          </w:tcPr>
          <w:p w14:paraId="214AA55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744,000.00 </w:t>
            </w:r>
          </w:p>
        </w:tc>
        <w:tc>
          <w:tcPr>
            <w:tcW w:w="0" w:type="auto"/>
            <w:vAlign w:val="center"/>
            <w:hideMark/>
          </w:tcPr>
          <w:p w14:paraId="47B4BF2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7C1569B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13,114.60 </w:t>
            </w:r>
          </w:p>
        </w:tc>
        <w:tc>
          <w:tcPr>
            <w:tcW w:w="0" w:type="auto"/>
            <w:vAlign w:val="center"/>
            <w:hideMark/>
          </w:tcPr>
          <w:p w14:paraId="5C85A70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0E65F36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837051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744,000.00 </w:t>
            </w:r>
          </w:p>
        </w:tc>
      </w:tr>
      <w:tr w:rsidR="00B13068" w:rsidRPr="00343D56" w14:paraId="1DFB2325" w14:textId="77777777" w:rsidTr="001052BE">
        <w:trPr>
          <w:trHeight w:val="984"/>
        </w:trPr>
        <w:tc>
          <w:tcPr>
            <w:tcW w:w="0" w:type="auto"/>
            <w:vAlign w:val="center"/>
            <w:hideMark/>
          </w:tcPr>
          <w:p w14:paraId="3D6D6BCF"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3.2.3: </w:t>
            </w:r>
            <w:r w:rsidRPr="00343D56">
              <w:rPr>
                <w:rFonts w:ascii="Calibri" w:hAnsi="Calibri" w:cs="Calibri"/>
                <w:color w:val="000000"/>
                <w:sz w:val="16"/>
                <w:szCs w:val="16"/>
                <w:lang w:eastAsia="es-PE"/>
              </w:rPr>
              <w:t>Integración de información de resultados de restauración, conectividad, conservación de la biodiversidad aporta al monitoreo de la inversión pública y los compromisos país de diversidad biológica</w:t>
            </w:r>
          </w:p>
        </w:tc>
        <w:tc>
          <w:tcPr>
            <w:tcW w:w="0" w:type="auto"/>
            <w:vAlign w:val="center"/>
            <w:hideMark/>
          </w:tcPr>
          <w:p w14:paraId="29CDB44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352,000.00 </w:t>
            </w:r>
          </w:p>
        </w:tc>
        <w:tc>
          <w:tcPr>
            <w:tcW w:w="0" w:type="auto"/>
            <w:vAlign w:val="center"/>
            <w:hideMark/>
          </w:tcPr>
          <w:p w14:paraId="538AA81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09605EF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29,463.68 </w:t>
            </w:r>
          </w:p>
        </w:tc>
        <w:tc>
          <w:tcPr>
            <w:tcW w:w="0" w:type="auto"/>
            <w:vAlign w:val="center"/>
            <w:hideMark/>
          </w:tcPr>
          <w:p w14:paraId="5127076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29.69 </w:t>
            </w:r>
          </w:p>
        </w:tc>
        <w:tc>
          <w:tcPr>
            <w:tcW w:w="0" w:type="auto"/>
            <w:vAlign w:val="center"/>
            <w:hideMark/>
          </w:tcPr>
          <w:p w14:paraId="61551CE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29.69 </w:t>
            </w:r>
          </w:p>
        </w:tc>
        <w:tc>
          <w:tcPr>
            <w:tcW w:w="0" w:type="auto"/>
            <w:vAlign w:val="center"/>
            <w:hideMark/>
          </w:tcPr>
          <w:p w14:paraId="1942426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351,970.31 </w:t>
            </w:r>
          </w:p>
        </w:tc>
      </w:tr>
      <w:tr w:rsidR="00B13068" w:rsidRPr="00343D56" w14:paraId="30B73D0C" w14:textId="77777777" w:rsidTr="001052BE">
        <w:trPr>
          <w:trHeight w:val="56"/>
        </w:trPr>
        <w:tc>
          <w:tcPr>
            <w:tcW w:w="0" w:type="auto"/>
            <w:vAlign w:val="center"/>
            <w:hideMark/>
          </w:tcPr>
          <w:p w14:paraId="46800A39"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Otros costos operativos</w:t>
            </w:r>
          </w:p>
        </w:tc>
        <w:tc>
          <w:tcPr>
            <w:tcW w:w="0" w:type="auto"/>
            <w:vAlign w:val="center"/>
            <w:hideMark/>
          </w:tcPr>
          <w:p w14:paraId="391506F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77,500.00 </w:t>
            </w:r>
          </w:p>
        </w:tc>
        <w:tc>
          <w:tcPr>
            <w:tcW w:w="0" w:type="auto"/>
            <w:vAlign w:val="center"/>
            <w:hideMark/>
          </w:tcPr>
          <w:p w14:paraId="76BA39C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6146882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9E19DA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vAlign w:val="center"/>
            <w:hideMark/>
          </w:tcPr>
          <w:p w14:paraId="0F68E71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4675CFF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77,500.00 </w:t>
            </w:r>
          </w:p>
        </w:tc>
      </w:tr>
      <w:tr w:rsidR="00B13068" w:rsidRPr="00343D56" w14:paraId="5FEB4C03" w14:textId="77777777" w:rsidTr="002B637B">
        <w:trPr>
          <w:trHeight w:val="360"/>
        </w:trPr>
        <w:tc>
          <w:tcPr>
            <w:tcW w:w="0" w:type="auto"/>
            <w:shd w:val="clear" w:color="D9E2F3" w:fill="D9E2F3"/>
            <w:vAlign w:val="center"/>
            <w:hideMark/>
          </w:tcPr>
          <w:p w14:paraId="00ADCFCD"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Componente 4:</w:t>
            </w:r>
            <w:r w:rsidRPr="00343D56">
              <w:rPr>
                <w:rFonts w:cs="Arial"/>
                <w:color w:val="000000"/>
                <w:sz w:val="16"/>
                <w:szCs w:val="16"/>
                <w:lang w:eastAsia="es-PE"/>
              </w:rPr>
              <w:t xml:space="preserve"> </w:t>
            </w:r>
            <w:r w:rsidRPr="00343D56">
              <w:rPr>
                <w:rFonts w:ascii="Calibri" w:hAnsi="Calibri" w:cs="Calibri"/>
                <w:color w:val="000000"/>
                <w:sz w:val="16"/>
                <w:szCs w:val="16"/>
                <w:lang w:eastAsia="es-PE"/>
              </w:rPr>
              <w:t>Coordinación, M&amp;E y Gestión del Conocimiento (GdC).</w:t>
            </w:r>
          </w:p>
        </w:tc>
        <w:tc>
          <w:tcPr>
            <w:tcW w:w="0" w:type="auto"/>
            <w:shd w:val="clear" w:color="D9E2F3" w:fill="D9E2F3"/>
            <w:vAlign w:val="center"/>
            <w:hideMark/>
          </w:tcPr>
          <w:p w14:paraId="2709A82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1,597,779.00 </w:t>
            </w:r>
          </w:p>
        </w:tc>
        <w:tc>
          <w:tcPr>
            <w:tcW w:w="0" w:type="auto"/>
            <w:shd w:val="clear" w:color="D9E2F3" w:fill="D9E2F3"/>
            <w:vAlign w:val="center"/>
            <w:hideMark/>
          </w:tcPr>
          <w:p w14:paraId="3885320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148,146.98 </w:t>
            </w:r>
          </w:p>
        </w:tc>
        <w:tc>
          <w:tcPr>
            <w:tcW w:w="0" w:type="auto"/>
            <w:shd w:val="clear" w:color="D9E2F3" w:fill="D9E2F3"/>
            <w:vAlign w:val="center"/>
            <w:hideMark/>
          </w:tcPr>
          <w:p w14:paraId="68DDACB8"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489,866.80 </w:t>
            </w:r>
          </w:p>
        </w:tc>
        <w:tc>
          <w:tcPr>
            <w:tcW w:w="0" w:type="auto"/>
            <w:shd w:val="clear" w:color="D9E2F3" w:fill="D9E2F3"/>
            <w:vAlign w:val="center"/>
            <w:hideMark/>
          </w:tcPr>
          <w:p w14:paraId="1B37F36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360,532.73 </w:t>
            </w:r>
          </w:p>
        </w:tc>
        <w:tc>
          <w:tcPr>
            <w:tcW w:w="0" w:type="auto"/>
            <w:shd w:val="clear" w:color="D9E2F3" w:fill="D9E2F3"/>
            <w:vAlign w:val="center"/>
            <w:hideMark/>
          </w:tcPr>
          <w:p w14:paraId="4C8160C1"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508,679.71 </w:t>
            </w:r>
          </w:p>
        </w:tc>
        <w:tc>
          <w:tcPr>
            <w:tcW w:w="0" w:type="auto"/>
            <w:shd w:val="clear" w:color="D9E2F3" w:fill="D9E2F3"/>
            <w:vAlign w:val="center"/>
            <w:hideMark/>
          </w:tcPr>
          <w:p w14:paraId="1A6997A5"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1,089,099.29 </w:t>
            </w:r>
          </w:p>
        </w:tc>
      </w:tr>
      <w:tr w:rsidR="00B13068" w:rsidRPr="00343D56" w14:paraId="79BBAE03" w14:textId="77777777" w:rsidTr="002B637B">
        <w:trPr>
          <w:trHeight w:val="1700"/>
        </w:trPr>
        <w:tc>
          <w:tcPr>
            <w:tcW w:w="0" w:type="auto"/>
            <w:shd w:val="clear" w:color="E7E6E6" w:fill="E7E6E6"/>
            <w:vAlign w:val="center"/>
            <w:hideMark/>
          </w:tcPr>
          <w:p w14:paraId="60CFFC55"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7: </w:t>
            </w:r>
            <w:r w:rsidRPr="00343D56">
              <w:rPr>
                <w:rFonts w:ascii="Calibri" w:hAnsi="Calibri" w:cs="Calibri"/>
                <w:color w:val="000000"/>
                <w:sz w:val="16"/>
                <w:szCs w:val="16"/>
                <w:lang w:eastAsia="es-PE"/>
              </w:rPr>
              <w:t>Los resultados bajo los Componentes 1, 2 y 3 se obtienen exitosamente con el apoyo de estrategias de comunicación y capacitación articuladas con la Plataforma Global K2A de FOLUR; y (4.2) Prácticas exitosas se replican en otras regiones y son compatibles con las plataformas CLD a nivel mundial.</w:t>
            </w:r>
          </w:p>
        </w:tc>
        <w:tc>
          <w:tcPr>
            <w:tcW w:w="0" w:type="auto"/>
            <w:shd w:val="clear" w:color="E7E6E6" w:fill="E7E6E6"/>
            <w:vAlign w:val="center"/>
            <w:hideMark/>
          </w:tcPr>
          <w:p w14:paraId="261042A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1,118,179.00 </w:t>
            </w:r>
          </w:p>
        </w:tc>
        <w:tc>
          <w:tcPr>
            <w:tcW w:w="0" w:type="auto"/>
            <w:shd w:val="clear" w:color="E7E6E6" w:fill="E7E6E6"/>
            <w:vAlign w:val="center"/>
            <w:hideMark/>
          </w:tcPr>
          <w:p w14:paraId="58D9476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148,146.98 </w:t>
            </w:r>
          </w:p>
        </w:tc>
        <w:tc>
          <w:tcPr>
            <w:tcW w:w="0" w:type="auto"/>
            <w:shd w:val="clear" w:color="E7E6E6" w:fill="E7E6E6"/>
            <w:vAlign w:val="center"/>
            <w:hideMark/>
          </w:tcPr>
          <w:p w14:paraId="2295DCC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385,077.03 </w:t>
            </w:r>
          </w:p>
        </w:tc>
        <w:tc>
          <w:tcPr>
            <w:tcW w:w="0" w:type="auto"/>
            <w:shd w:val="clear" w:color="E7E6E6" w:fill="E7E6E6"/>
            <w:vAlign w:val="center"/>
            <w:hideMark/>
          </w:tcPr>
          <w:p w14:paraId="6A431F92"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310,598.91 </w:t>
            </w:r>
          </w:p>
        </w:tc>
        <w:tc>
          <w:tcPr>
            <w:tcW w:w="0" w:type="auto"/>
            <w:shd w:val="clear" w:color="E7E6E6" w:fill="E7E6E6"/>
            <w:vAlign w:val="center"/>
            <w:hideMark/>
          </w:tcPr>
          <w:p w14:paraId="2C1F121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458,745.89 </w:t>
            </w:r>
          </w:p>
        </w:tc>
        <w:tc>
          <w:tcPr>
            <w:tcW w:w="0" w:type="auto"/>
            <w:shd w:val="clear" w:color="E7E6E6" w:fill="E7E6E6"/>
            <w:vAlign w:val="center"/>
            <w:hideMark/>
          </w:tcPr>
          <w:p w14:paraId="3F068F7E"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659,433.11 </w:t>
            </w:r>
          </w:p>
        </w:tc>
      </w:tr>
      <w:tr w:rsidR="00B13068" w:rsidRPr="00343D56" w14:paraId="433F5F17" w14:textId="77777777" w:rsidTr="001052BE">
        <w:trPr>
          <w:trHeight w:val="67"/>
        </w:trPr>
        <w:tc>
          <w:tcPr>
            <w:tcW w:w="0" w:type="auto"/>
            <w:vAlign w:val="center"/>
            <w:hideMark/>
          </w:tcPr>
          <w:p w14:paraId="300F8FBE"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4.1.1: </w:t>
            </w:r>
            <w:r w:rsidRPr="00343D56">
              <w:rPr>
                <w:rFonts w:ascii="Calibri" w:hAnsi="Calibri" w:cs="Calibri"/>
                <w:color w:val="000000"/>
                <w:sz w:val="16"/>
                <w:szCs w:val="16"/>
                <w:lang w:eastAsia="es-PE"/>
              </w:rPr>
              <w:t>Una estrategia de comunicación y gestión del conocimiento del proyecto que integra plataformas de aprendizaje nacionales, internacionales y Plataforma Global Knowledge to Action (K2A) de FOLUR, que apoyan cadenas de valor libres de deforestación a nivel nacional y subnacional.</w:t>
            </w:r>
          </w:p>
        </w:tc>
        <w:tc>
          <w:tcPr>
            <w:tcW w:w="0" w:type="auto"/>
            <w:vAlign w:val="center"/>
            <w:hideMark/>
          </w:tcPr>
          <w:p w14:paraId="600A402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121,800.00 </w:t>
            </w:r>
          </w:p>
        </w:tc>
        <w:tc>
          <w:tcPr>
            <w:tcW w:w="0" w:type="auto"/>
            <w:vAlign w:val="center"/>
            <w:hideMark/>
          </w:tcPr>
          <w:p w14:paraId="044C8AC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35,909.24 </w:t>
            </w:r>
          </w:p>
        </w:tc>
        <w:tc>
          <w:tcPr>
            <w:tcW w:w="0" w:type="auto"/>
            <w:vAlign w:val="center"/>
            <w:hideMark/>
          </w:tcPr>
          <w:p w14:paraId="077520B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88,767.19 </w:t>
            </w:r>
          </w:p>
        </w:tc>
        <w:tc>
          <w:tcPr>
            <w:tcW w:w="0" w:type="auto"/>
            <w:vAlign w:val="center"/>
            <w:hideMark/>
          </w:tcPr>
          <w:p w14:paraId="3374718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24,563.30 </w:t>
            </w:r>
          </w:p>
        </w:tc>
        <w:tc>
          <w:tcPr>
            <w:tcW w:w="0" w:type="auto"/>
            <w:vAlign w:val="center"/>
            <w:hideMark/>
          </w:tcPr>
          <w:p w14:paraId="1533531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60,472.54 </w:t>
            </w:r>
          </w:p>
        </w:tc>
        <w:tc>
          <w:tcPr>
            <w:tcW w:w="0" w:type="auto"/>
            <w:vAlign w:val="center"/>
            <w:hideMark/>
          </w:tcPr>
          <w:p w14:paraId="6D0711B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61,327.46 </w:t>
            </w:r>
          </w:p>
        </w:tc>
      </w:tr>
      <w:tr w:rsidR="00B13068" w:rsidRPr="00343D56" w14:paraId="60D6CA81" w14:textId="77777777" w:rsidTr="002B637B">
        <w:trPr>
          <w:trHeight w:val="1440"/>
        </w:trPr>
        <w:tc>
          <w:tcPr>
            <w:tcW w:w="0" w:type="auto"/>
            <w:vAlign w:val="center"/>
            <w:hideMark/>
          </w:tcPr>
          <w:p w14:paraId="712FC573" w14:textId="15E5402F"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lastRenderedPageBreak/>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4.1.2: </w:t>
            </w:r>
            <w:r w:rsidR="00E44CD7" w:rsidRPr="00343D56">
              <w:rPr>
                <w:rFonts w:asciiTheme="minorHAnsi" w:eastAsiaTheme="minorEastAsia" w:hAnsiTheme="minorHAnsi" w:cstheme="minorHAnsi"/>
                <w:sz w:val="16"/>
                <w:szCs w:val="16"/>
              </w:rPr>
              <w:t>Mejores prácticas, lecciones aprendidas, estudios de caso, conocimientos y el progreso del proyecto (haciendo hincapié en las perspectivas de género e interculturales) se documentan y comparten en eventos nacionales e internacionales de intercambio de lecciones</w:t>
            </w:r>
            <w:r w:rsidR="00E44CD7">
              <w:rPr>
                <w:rFonts w:asciiTheme="minorHAnsi" w:eastAsiaTheme="minorEastAsia" w:hAnsiTheme="minorHAnsi" w:cstheme="minorHAnsi"/>
                <w:sz w:val="16"/>
                <w:szCs w:val="16"/>
              </w:rPr>
              <w:t>.</w:t>
            </w:r>
          </w:p>
        </w:tc>
        <w:tc>
          <w:tcPr>
            <w:tcW w:w="0" w:type="auto"/>
            <w:vAlign w:val="center"/>
            <w:hideMark/>
          </w:tcPr>
          <w:p w14:paraId="50B6D3A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226,800.00 </w:t>
            </w:r>
          </w:p>
        </w:tc>
        <w:tc>
          <w:tcPr>
            <w:tcW w:w="0" w:type="auto"/>
            <w:vAlign w:val="center"/>
            <w:hideMark/>
          </w:tcPr>
          <w:p w14:paraId="10E25F5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3,358.47 </w:t>
            </w:r>
          </w:p>
        </w:tc>
        <w:tc>
          <w:tcPr>
            <w:tcW w:w="0" w:type="auto"/>
            <w:vAlign w:val="center"/>
            <w:hideMark/>
          </w:tcPr>
          <w:p w14:paraId="57709D3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13,946.86 </w:t>
            </w:r>
          </w:p>
        </w:tc>
        <w:tc>
          <w:tcPr>
            <w:tcW w:w="0" w:type="auto"/>
            <w:vAlign w:val="center"/>
            <w:hideMark/>
          </w:tcPr>
          <w:p w14:paraId="164C368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6,863.84 </w:t>
            </w:r>
          </w:p>
        </w:tc>
        <w:tc>
          <w:tcPr>
            <w:tcW w:w="0" w:type="auto"/>
            <w:vAlign w:val="center"/>
            <w:hideMark/>
          </w:tcPr>
          <w:p w14:paraId="04D5847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10,222.31 </w:t>
            </w:r>
          </w:p>
        </w:tc>
        <w:tc>
          <w:tcPr>
            <w:tcW w:w="0" w:type="auto"/>
            <w:vAlign w:val="center"/>
            <w:hideMark/>
          </w:tcPr>
          <w:p w14:paraId="0E47500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216,577.69 </w:t>
            </w:r>
          </w:p>
        </w:tc>
      </w:tr>
      <w:tr w:rsidR="00B13068" w:rsidRPr="00343D56" w14:paraId="4DE0A5B6" w14:textId="77777777" w:rsidTr="001052BE">
        <w:trPr>
          <w:trHeight w:val="1356"/>
        </w:trPr>
        <w:tc>
          <w:tcPr>
            <w:tcW w:w="0" w:type="auto"/>
            <w:vAlign w:val="center"/>
            <w:hideMark/>
          </w:tcPr>
          <w:p w14:paraId="2B239127" w14:textId="6E9A0A7B"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4.1.3: </w:t>
            </w:r>
            <w:r w:rsidR="00E44CD7" w:rsidRPr="00E44CD7">
              <w:rPr>
                <w:rFonts w:ascii="Calibri" w:hAnsi="Calibri" w:cs="Calibri"/>
                <w:color w:val="000000"/>
                <w:sz w:val="16"/>
                <w:szCs w:val="16"/>
                <w:lang w:eastAsia="es-PE"/>
              </w:rPr>
              <w:t>Productores nacionales que participan en el proyecto, tanto hombres como mujeres, están capacitados para presentarse y representarse a sí mismos en eventos nacionales e internacionales, estableciendo conexiones con compradores interesados en commodities libres de deforestación</w:t>
            </w:r>
          </w:p>
        </w:tc>
        <w:tc>
          <w:tcPr>
            <w:tcW w:w="0" w:type="auto"/>
            <w:vAlign w:val="center"/>
            <w:hideMark/>
          </w:tcPr>
          <w:p w14:paraId="0E845A4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115,800.00 </w:t>
            </w:r>
          </w:p>
        </w:tc>
        <w:tc>
          <w:tcPr>
            <w:tcW w:w="0" w:type="auto"/>
            <w:vAlign w:val="center"/>
            <w:hideMark/>
          </w:tcPr>
          <w:p w14:paraId="0688898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4,321.37 </w:t>
            </w:r>
          </w:p>
        </w:tc>
        <w:tc>
          <w:tcPr>
            <w:tcW w:w="0" w:type="auto"/>
            <w:vAlign w:val="center"/>
            <w:hideMark/>
          </w:tcPr>
          <w:p w14:paraId="3F11905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140,794.71 </w:t>
            </w:r>
          </w:p>
        </w:tc>
        <w:tc>
          <w:tcPr>
            <w:tcW w:w="0" w:type="auto"/>
            <w:vAlign w:val="center"/>
            <w:hideMark/>
          </w:tcPr>
          <w:p w14:paraId="1FDAE9D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130,284.39 </w:t>
            </w:r>
          </w:p>
        </w:tc>
        <w:tc>
          <w:tcPr>
            <w:tcW w:w="0" w:type="auto"/>
            <w:vAlign w:val="center"/>
            <w:hideMark/>
          </w:tcPr>
          <w:p w14:paraId="2C4AAD1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134,605.76 </w:t>
            </w:r>
          </w:p>
        </w:tc>
        <w:tc>
          <w:tcPr>
            <w:tcW w:w="0" w:type="auto"/>
            <w:vAlign w:val="center"/>
            <w:hideMark/>
          </w:tcPr>
          <w:p w14:paraId="47DEEAC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18,805.76 </w:t>
            </w:r>
          </w:p>
        </w:tc>
      </w:tr>
      <w:tr w:rsidR="00B13068" w:rsidRPr="00343D56" w14:paraId="231C2B46" w14:textId="77777777" w:rsidTr="002B637B">
        <w:trPr>
          <w:trHeight w:val="400"/>
        </w:trPr>
        <w:tc>
          <w:tcPr>
            <w:tcW w:w="0" w:type="auto"/>
            <w:vAlign w:val="center"/>
            <w:hideMark/>
          </w:tcPr>
          <w:p w14:paraId="3E42086A"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Responsable del componente 4 (6.5 años)</w:t>
            </w:r>
          </w:p>
        </w:tc>
        <w:tc>
          <w:tcPr>
            <w:tcW w:w="0" w:type="auto"/>
            <w:vAlign w:val="center"/>
            <w:hideMark/>
          </w:tcPr>
          <w:p w14:paraId="0649A76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252,000.00 </w:t>
            </w:r>
          </w:p>
        </w:tc>
        <w:tc>
          <w:tcPr>
            <w:tcW w:w="0" w:type="auto"/>
            <w:vAlign w:val="center"/>
            <w:hideMark/>
          </w:tcPr>
          <w:p w14:paraId="52A896B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17,638.53 </w:t>
            </w:r>
          </w:p>
        </w:tc>
        <w:tc>
          <w:tcPr>
            <w:tcW w:w="0" w:type="auto"/>
            <w:vAlign w:val="center"/>
            <w:hideMark/>
          </w:tcPr>
          <w:p w14:paraId="28AA414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28,466.00 </w:t>
            </w:r>
          </w:p>
        </w:tc>
        <w:tc>
          <w:tcPr>
            <w:tcW w:w="0" w:type="auto"/>
            <w:vAlign w:val="center"/>
            <w:hideMark/>
          </w:tcPr>
          <w:p w14:paraId="2696D1A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30,312.51 </w:t>
            </w:r>
          </w:p>
        </w:tc>
        <w:tc>
          <w:tcPr>
            <w:tcW w:w="0" w:type="auto"/>
            <w:vAlign w:val="center"/>
            <w:hideMark/>
          </w:tcPr>
          <w:p w14:paraId="02F5C87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47,951.04 </w:t>
            </w:r>
          </w:p>
        </w:tc>
        <w:tc>
          <w:tcPr>
            <w:tcW w:w="0" w:type="auto"/>
            <w:vAlign w:val="center"/>
            <w:hideMark/>
          </w:tcPr>
          <w:p w14:paraId="2A192E9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204,048.96 </w:t>
            </w:r>
          </w:p>
        </w:tc>
      </w:tr>
      <w:tr w:rsidR="00B13068" w:rsidRPr="00343D56" w14:paraId="1A130F24" w14:textId="77777777" w:rsidTr="002B637B">
        <w:trPr>
          <w:trHeight w:val="400"/>
        </w:trPr>
        <w:tc>
          <w:tcPr>
            <w:tcW w:w="0" w:type="auto"/>
            <w:vAlign w:val="center"/>
            <w:hideMark/>
          </w:tcPr>
          <w:p w14:paraId="0AB4E88F"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Especialista en comunicaciones </w:t>
            </w:r>
          </w:p>
        </w:tc>
        <w:tc>
          <w:tcPr>
            <w:tcW w:w="0" w:type="auto"/>
            <w:vAlign w:val="center"/>
            <w:hideMark/>
          </w:tcPr>
          <w:p w14:paraId="594A7E6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19E0281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14,095.80 </w:t>
            </w:r>
          </w:p>
        </w:tc>
        <w:tc>
          <w:tcPr>
            <w:tcW w:w="0" w:type="auto"/>
            <w:vAlign w:val="center"/>
            <w:hideMark/>
          </w:tcPr>
          <w:p w14:paraId="476D9DD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22,140.22 </w:t>
            </w:r>
          </w:p>
        </w:tc>
        <w:tc>
          <w:tcPr>
            <w:tcW w:w="0" w:type="auto"/>
            <w:vAlign w:val="center"/>
            <w:hideMark/>
          </w:tcPr>
          <w:p w14:paraId="534D2B8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21,619.18 </w:t>
            </w:r>
          </w:p>
        </w:tc>
        <w:tc>
          <w:tcPr>
            <w:tcW w:w="0" w:type="auto"/>
            <w:vAlign w:val="center"/>
            <w:hideMark/>
          </w:tcPr>
          <w:p w14:paraId="528ACB0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35,714.98 </w:t>
            </w:r>
          </w:p>
        </w:tc>
        <w:tc>
          <w:tcPr>
            <w:tcW w:w="0" w:type="auto"/>
            <w:vAlign w:val="center"/>
            <w:hideMark/>
          </w:tcPr>
          <w:p w14:paraId="319AC8B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35,714.98 </w:t>
            </w:r>
          </w:p>
        </w:tc>
      </w:tr>
      <w:tr w:rsidR="00B13068" w:rsidRPr="00343D56" w14:paraId="47ED79BE" w14:textId="77777777" w:rsidTr="002B637B">
        <w:trPr>
          <w:trHeight w:val="400"/>
        </w:trPr>
        <w:tc>
          <w:tcPr>
            <w:tcW w:w="0" w:type="auto"/>
            <w:vAlign w:val="center"/>
            <w:hideMark/>
          </w:tcPr>
          <w:p w14:paraId="683898D0"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Especialista en Salvaguardias</w:t>
            </w:r>
          </w:p>
        </w:tc>
        <w:tc>
          <w:tcPr>
            <w:tcW w:w="0" w:type="auto"/>
            <w:vAlign w:val="center"/>
            <w:hideMark/>
          </w:tcPr>
          <w:p w14:paraId="5E4B615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85,500.00 </w:t>
            </w:r>
          </w:p>
        </w:tc>
        <w:tc>
          <w:tcPr>
            <w:tcW w:w="0" w:type="auto"/>
            <w:vAlign w:val="center"/>
            <w:hideMark/>
          </w:tcPr>
          <w:p w14:paraId="0CE32C0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19,409.61 </w:t>
            </w:r>
          </w:p>
        </w:tc>
        <w:tc>
          <w:tcPr>
            <w:tcW w:w="0" w:type="auto"/>
            <w:vAlign w:val="center"/>
            <w:hideMark/>
          </w:tcPr>
          <w:p w14:paraId="021C594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31,628.89 </w:t>
            </w:r>
          </w:p>
        </w:tc>
        <w:tc>
          <w:tcPr>
            <w:tcW w:w="0" w:type="auto"/>
            <w:vAlign w:val="center"/>
            <w:hideMark/>
          </w:tcPr>
          <w:p w14:paraId="149947F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33,839.82 </w:t>
            </w:r>
          </w:p>
        </w:tc>
        <w:tc>
          <w:tcPr>
            <w:tcW w:w="0" w:type="auto"/>
            <w:vAlign w:val="center"/>
            <w:hideMark/>
          </w:tcPr>
          <w:p w14:paraId="5769B1E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53,249.43 </w:t>
            </w:r>
          </w:p>
        </w:tc>
        <w:tc>
          <w:tcPr>
            <w:tcW w:w="0" w:type="auto"/>
            <w:vAlign w:val="center"/>
            <w:hideMark/>
          </w:tcPr>
          <w:p w14:paraId="0CDAFB7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32,250.57 </w:t>
            </w:r>
          </w:p>
        </w:tc>
      </w:tr>
      <w:tr w:rsidR="00B13068" w:rsidRPr="00343D56" w14:paraId="632B3057" w14:textId="77777777" w:rsidTr="002B637B">
        <w:trPr>
          <w:trHeight w:val="400"/>
        </w:trPr>
        <w:tc>
          <w:tcPr>
            <w:tcW w:w="0" w:type="auto"/>
            <w:vAlign w:val="center"/>
            <w:hideMark/>
          </w:tcPr>
          <w:p w14:paraId="7C643760"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Oficial de género (60 meses)</w:t>
            </w:r>
          </w:p>
        </w:tc>
        <w:tc>
          <w:tcPr>
            <w:tcW w:w="0" w:type="auto"/>
            <w:vAlign w:val="center"/>
            <w:hideMark/>
          </w:tcPr>
          <w:p w14:paraId="2BAD576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85,500.00 </w:t>
            </w:r>
          </w:p>
        </w:tc>
        <w:tc>
          <w:tcPr>
            <w:tcW w:w="0" w:type="auto"/>
            <w:vAlign w:val="center"/>
            <w:hideMark/>
          </w:tcPr>
          <w:p w14:paraId="33FF229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17,726.64 </w:t>
            </w:r>
          </w:p>
        </w:tc>
        <w:tc>
          <w:tcPr>
            <w:tcW w:w="0" w:type="auto"/>
            <w:vAlign w:val="center"/>
            <w:hideMark/>
          </w:tcPr>
          <w:p w14:paraId="5DDF1E0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26,884.55 </w:t>
            </w:r>
          </w:p>
        </w:tc>
        <w:tc>
          <w:tcPr>
            <w:tcW w:w="0" w:type="auto"/>
            <w:vAlign w:val="center"/>
            <w:hideMark/>
          </w:tcPr>
          <w:p w14:paraId="5390A3B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23,577.22 </w:t>
            </w:r>
          </w:p>
        </w:tc>
        <w:tc>
          <w:tcPr>
            <w:tcW w:w="0" w:type="auto"/>
            <w:vAlign w:val="center"/>
            <w:hideMark/>
          </w:tcPr>
          <w:p w14:paraId="6EE5E99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41,303.86 </w:t>
            </w:r>
          </w:p>
        </w:tc>
        <w:tc>
          <w:tcPr>
            <w:tcW w:w="0" w:type="auto"/>
            <w:vAlign w:val="center"/>
            <w:hideMark/>
          </w:tcPr>
          <w:p w14:paraId="053F299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44,196.14 </w:t>
            </w:r>
          </w:p>
        </w:tc>
      </w:tr>
      <w:tr w:rsidR="00B13068" w:rsidRPr="00343D56" w14:paraId="129AD325" w14:textId="77777777" w:rsidTr="002B637B">
        <w:trPr>
          <w:trHeight w:val="390"/>
        </w:trPr>
        <w:tc>
          <w:tcPr>
            <w:tcW w:w="0" w:type="auto"/>
            <w:vAlign w:val="center"/>
            <w:hideMark/>
          </w:tcPr>
          <w:p w14:paraId="0AEA5313"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Oficial de M&amp;E</w:t>
            </w:r>
          </w:p>
        </w:tc>
        <w:tc>
          <w:tcPr>
            <w:tcW w:w="0" w:type="auto"/>
            <w:vAlign w:val="center"/>
            <w:hideMark/>
          </w:tcPr>
          <w:p w14:paraId="5A81AEB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85,000.00 </w:t>
            </w:r>
          </w:p>
        </w:tc>
        <w:tc>
          <w:tcPr>
            <w:tcW w:w="0" w:type="auto"/>
            <w:vAlign w:val="center"/>
            <w:hideMark/>
          </w:tcPr>
          <w:p w14:paraId="3C1929E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20,830.95 </w:t>
            </w:r>
          </w:p>
        </w:tc>
        <w:tc>
          <w:tcPr>
            <w:tcW w:w="0" w:type="auto"/>
            <w:vAlign w:val="center"/>
            <w:hideMark/>
          </w:tcPr>
          <w:p w14:paraId="2C6A5BD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30,047.44 </w:t>
            </w:r>
          </w:p>
        </w:tc>
        <w:tc>
          <w:tcPr>
            <w:tcW w:w="0" w:type="auto"/>
            <w:vAlign w:val="center"/>
            <w:hideMark/>
          </w:tcPr>
          <w:p w14:paraId="075117E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37,047.79 </w:t>
            </w:r>
          </w:p>
        </w:tc>
        <w:tc>
          <w:tcPr>
            <w:tcW w:w="0" w:type="auto"/>
            <w:vAlign w:val="center"/>
            <w:hideMark/>
          </w:tcPr>
          <w:p w14:paraId="4D0F9F0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57,878.74 </w:t>
            </w:r>
          </w:p>
        </w:tc>
        <w:tc>
          <w:tcPr>
            <w:tcW w:w="0" w:type="auto"/>
            <w:vAlign w:val="center"/>
            <w:hideMark/>
          </w:tcPr>
          <w:p w14:paraId="6B540D9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27,121.26 </w:t>
            </w:r>
          </w:p>
        </w:tc>
      </w:tr>
      <w:tr w:rsidR="00B13068" w:rsidRPr="00343D56" w14:paraId="0AFEFE8B" w14:textId="77777777" w:rsidTr="002B637B">
        <w:trPr>
          <w:trHeight w:val="390"/>
        </w:trPr>
        <w:tc>
          <w:tcPr>
            <w:tcW w:w="0" w:type="auto"/>
            <w:vAlign w:val="center"/>
            <w:hideMark/>
          </w:tcPr>
          <w:p w14:paraId="58A2F234"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Equipos de tecnología de la información</w:t>
            </w:r>
          </w:p>
        </w:tc>
        <w:tc>
          <w:tcPr>
            <w:tcW w:w="0" w:type="auto"/>
            <w:vAlign w:val="center"/>
            <w:hideMark/>
          </w:tcPr>
          <w:p w14:paraId="7E32A4D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104,668.00 </w:t>
            </w:r>
          </w:p>
        </w:tc>
        <w:tc>
          <w:tcPr>
            <w:tcW w:w="0" w:type="auto"/>
            <w:vAlign w:val="center"/>
            <w:hideMark/>
          </w:tcPr>
          <w:p w14:paraId="77EA677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14,856.37 </w:t>
            </w:r>
          </w:p>
        </w:tc>
        <w:tc>
          <w:tcPr>
            <w:tcW w:w="0" w:type="auto"/>
            <w:vAlign w:val="center"/>
            <w:hideMark/>
          </w:tcPr>
          <w:p w14:paraId="768FB28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819.72 </w:t>
            </w:r>
          </w:p>
        </w:tc>
        <w:tc>
          <w:tcPr>
            <w:tcW w:w="0" w:type="auto"/>
            <w:vAlign w:val="center"/>
            <w:hideMark/>
          </w:tcPr>
          <w:p w14:paraId="01C0690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1,649.12 </w:t>
            </w:r>
          </w:p>
        </w:tc>
        <w:tc>
          <w:tcPr>
            <w:tcW w:w="0" w:type="auto"/>
            <w:vAlign w:val="center"/>
            <w:hideMark/>
          </w:tcPr>
          <w:p w14:paraId="4D898A0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16,505.49 </w:t>
            </w:r>
          </w:p>
        </w:tc>
        <w:tc>
          <w:tcPr>
            <w:tcW w:w="0" w:type="auto"/>
            <w:vAlign w:val="center"/>
            <w:hideMark/>
          </w:tcPr>
          <w:p w14:paraId="30821F7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88,162.51 </w:t>
            </w:r>
          </w:p>
        </w:tc>
      </w:tr>
      <w:tr w:rsidR="00B13068" w:rsidRPr="00343D56" w14:paraId="7513D782" w14:textId="77777777" w:rsidTr="002B637B">
        <w:trPr>
          <w:trHeight w:val="390"/>
        </w:trPr>
        <w:tc>
          <w:tcPr>
            <w:tcW w:w="0" w:type="auto"/>
            <w:vAlign w:val="center"/>
            <w:hideMark/>
          </w:tcPr>
          <w:p w14:paraId="7377BED5"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Materiales y bienes</w:t>
            </w:r>
          </w:p>
        </w:tc>
        <w:tc>
          <w:tcPr>
            <w:tcW w:w="0" w:type="auto"/>
            <w:vAlign w:val="center"/>
            <w:hideMark/>
          </w:tcPr>
          <w:p w14:paraId="53E0F54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15,000.00 </w:t>
            </w:r>
          </w:p>
        </w:tc>
        <w:tc>
          <w:tcPr>
            <w:tcW w:w="0" w:type="auto"/>
            <w:vAlign w:val="center"/>
            <w:hideMark/>
          </w:tcPr>
          <w:p w14:paraId="782D8C7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672808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1B8B59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561B752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66AAA4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15,000.00 </w:t>
            </w:r>
          </w:p>
        </w:tc>
      </w:tr>
      <w:tr w:rsidR="00B13068" w:rsidRPr="00343D56" w14:paraId="02EC1B83" w14:textId="77777777" w:rsidTr="002B637B">
        <w:trPr>
          <w:trHeight w:val="390"/>
        </w:trPr>
        <w:tc>
          <w:tcPr>
            <w:tcW w:w="0" w:type="auto"/>
            <w:vAlign w:val="center"/>
            <w:hideMark/>
          </w:tcPr>
          <w:p w14:paraId="153F9588" w14:textId="51047408" w:rsidR="00B13068" w:rsidRPr="00343D56" w:rsidRDefault="00CE23E1"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Suministros</w:t>
            </w:r>
          </w:p>
        </w:tc>
        <w:tc>
          <w:tcPr>
            <w:tcW w:w="0" w:type="auto"/>
            <w:vAlign w:val="center"/>
            <w:hideMark/>
          </w:tcPr>
          <w:p w14:paraId="43584D4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26,111.00 </w:t>
            </w:r>
          </w:p>
        </w:tc>
        <w:tc>
          <w:tcPr>
            <w:tcW w:w="0" w:type="auto"/>
            <w:vAlign w:val="center"/>
            <w:hideMark/>
          </w:tcPr>
          <w:p w14:paraId="2D98C86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94DC33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1,581.44 </w:t>
            </w:r>
          </w:p>
        </w:tc>
        <w:tc>
          <w:tcPr>
            <w:tcW w:w="0" w:type="auto"/>
            <w:vAlign w:val="center"/>
            <w:hideMark/>
          </w:tcPr>
          <w:p w14:paraId="1746984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841.74 </w:t>
            </w:r>
          </w:p>
        </w:tc>
        <w:tc>
          <w:tcPr>
            <w:tcW w:w="0" w:type="auto"/>
            <w:vAlign w:val="center"/>
            <w:hideMark/>
          </w:tcPr>
          <w:p w14:paraId="0A4CB55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841.74 </w:t>
            </w:r>
          </w:p>
        </w:tc>
        <w:tc>
          <w:tcPr>
            <w:tcW w:w="0" w:type="auto"/>
            <w:vAlign w:val="center"/>
            <w:hideMark/>
          </w:tcPr>
          <w:p w14:paraId="3BD55A0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25,269.26 </w:t>
            </w:r>
          </w:p>
        </w:tc>
      </w:tr>
      <w:tr w:rsidR="00B13068" w:rsidRPr="00343D56" w14:paraId="7CC97FC5" w14:textId="77777777" w:rsidTr="002B637B">
        <w:trPr>
          <w:trHeight w:val="1050"/>
        </w:trPr>
        <w:tc>
          <w:tcPr>
            <w:tcW w:w="0" w:type="auto"/>
            <w:shd w:val="clear" w:color="E7E6E6" w:fill="E7E6E6"/>
            <w:vAlign w:val="center"/>
            <w:hideMark/>
          </w:tcPr>
          <w:p w14:paraId="36E816F4"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Resultado 8: </w:t>
            </w:r>
            <w:r w:rsidRPr="00343D56">
              <w:rPr>
                <w:rFonts w:ascii="Calibri" w:hAnsi="Calibri" w:cs="Calibri"/>
                <w:color w:val="000000"/>
                <w:sz w:val="16"/>
                <w:szCs w:val="16"/>
                <w:lang w:eastAsia="es-PE"/>
              </w:rPr>
              <w:t>El empoderamiento con equilibrio de género y la toma de decisiones informadas mejoran la gobernanza de las agencias públicas locales, regionales y nacionales; y de los actores a lo largo de la cadena de valor.</w:t>
            </w:r>
          </w:p>
        </w:tc>
        <w:tc>
          <w:tcPr>
            <w:tcW w:w="0" w:type="auto"/>
            <w:shd w:val="clear" w:color="E7E6E6" w:fill="E7E6E6"/>
            <w:vAlign w:val="center"/>
            <w:hideMark/>
          </w:tcPr>
          <w:p w14:paraId="00C5687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479,600.00 </w:t>
            </w:r>
          </w:p>
        </w:tc>
        <w:tc>
          <w:tcPr>
            <w:tcW w:w="0" w:type="auto"/>
            <w:shd w:val="clear" w:color="E7E6E6" w:fill="E7E6E6"/>
            <w:vAlign w:val="center"/>
            <w:hideMark/>
          </w:tcPr>
          <w:p w14:paraId="30461F5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   </w:t>
            </w:r>
          </w:p>
        </w:tc>
        <w:tc>
          <w:tcPr>
            <w:tcW w:w="0" w:type="auto"/>
            <w:shd w:val="clear" w:color="E7E6E6" w:fill="E7E6E6"/>
            <w:vAlign w:val="center"/>
            <w:hideMark/>
          </w:tcPr>
          <w:p w14:paraId="0D2DDCC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104,789.77 </w:t>
            </w:r>
          </w:p>
        </w:tc>
        <w:tc>
          <w:tcPr>
            <w:tcW w:w="0" w:type="auto"/>
            <w:shd w:val="clear" w:color="E7E6E6" w:fill="E7E6E6"/>
            <w:vAlign w:val="center"/>
            <w:hideMark/>
          </w:tcPr>
          <w:p w14:paraId="337A65F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49,933.82 </w:t>
            </w:r>
          </w:p>
        </w:tc>
        <w:tc>
          <w:tcPr>
            <w:tcW w:w="0" w:type="auto"/>
            <w:shd w:val="clear" w:color="E7E6E6" w:fill="E7E6E6"/>
            <w:vAlign w:val="center"/>
            <w:hideMark/>
          </w:tcPr>
          <w:p w14:paraId="79A58283"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49,933.82 </w:t>
            </w:r>
          </w:p>
        </w:tc>
        <w:tc>
          <w:tcPr>
            <w:tcW w:w="0" w:type="auto"/>
            <w:shd w:val="clear" w:color="E7E6E6" w:fill="E7E6E6"/>
            <w:vAlign w:val="center"/>
            <w:hideMark/>
          </w:tcPr>
          <w:p w14:paraId="5D8CC75F"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429,666.18 </w:t>
            </w:r>
          </w:p>
        </w:tc>
      </w:tr>
      <w:tr w:rsidR="00B13068" w:rsidRPr="00343D56" w14:paraId="34736018" w14:textId="77777777" w:rsidTr="001052BE">
        <w:trPr>
          <w:trHeight w:val="1158"/>
        </w:trPr>
        <w:tc>
          <w:tcPr>
            <w:tcW w:w="0" w:type="auto"/>
            <w:vAlign w:val="center"/>
            <w:hideMark/>
          </w:tcPr>
          <w:p w14:paraId="593796DC" w14:textId="766B9930"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4.2.1: </w:t>
            </w:r>
            <w:r w:rsidR="00DF5C25" w:rsidRPr="00DF5C25">
              <w:rPr>
                <w:rFonts w:ascii="Calibri" w:hAnsi="Calibri" w:cs="Calibri"/>
                <w:color w:val="000000"/>
                <w:sz w:val="16"/>
                <w:szCs w:val="16"/>
                <w:lang w:eastAsia="es-PE"/>
              </w:rPr>
              <w:t>Un sistema integral de M&amp;E, que incluye múltiples procedimientos y protocolos, facilita la réplica de los componentes del proyecto para aumentar su impacto. Los informes de monitoreo, evaluación y retroalimentación (ME&amp;R) son utilizados para actualizar las estrategias y planes de acción del proyecto en colaboración con las partes interesadas públicas y privadas</w:t>
            </w:r>
          </w:p>
        </w:tc>
        <w:tc>
          <w:tcPr>
            <w:tcW w:w="0" w:type="auto"/>
            <w:vAlign w:val="center"/>
            <w:hideMark/>
          </w:tcPr>
          <w:p w14:paraId="44A35E2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133,800.00 </w:t>
            </w:r>
          </w:p>
        </w:tc>
        <w:tc>
          <w:tcPr>
            <w:tcW w:w="0" w:type="auto"/>
            <w:vAlign w:val="center"/>
            <w:hideMark/>
          </w:tcPr>
          <w:p w14:paraId="4A5FA4A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23D8EF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73,000.00 </w:t>
            </w:r>
          </w:p>
        </w:tc>
        <w:tc>
          <w:tcPr>
            <w:tcW w:w="0" w:type="auto"/>
            <w:vAlign w:val="center"/>
            <w:hideMark/>
          </w:tcPr>
          <w:p w14:paraId="1EA3495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49,339.15 </w:t>
            </w:r>
          </w:p>
        </w:tc>
        <w:tc>
          <w:tcPr>
            <w:tcW w:w="0" w:type="auto"/>
            <w:vAlign w:val="center"/>
            <w:hideMark/>
          </w:tcPr>
          <w:p w14:paraId="794168B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49,339.15 </w:t>
            </w:r>
          </w:p>
        </w:tc>
        <w:tc>
          <w:tcPr>
            <w:tcW w:w="0" w:type="auto"/>
            <w:vAlign w:val="center"/>
            <w:hideMark/>
          </w:tcPr>
          <w:p w14:paraId="5D5C2E9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84,460.85 </w:t>
            </w:r>
          </w:p>
        </w:tc>
      </w:tr>
      <w:tr w:rsidR="00B13068" w:rsidRPr="00343D56" w14:paraId="7DD28736" w14:textId="77777777" w:rsidTr="001052BE">
        <w:trPr>
          <w:trHeight w:val="56"/>
        </w:trPr>
        <w:tc>
          <w:tcPr>
            <w:tcW w:w="0" w:type="auto"/>
            <w:vAlign w:val="center"/>
            <w:hideMark/>
          </w:tcPr>
          <w:p w14:paraId="493A5661"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Producto</w:t>
            </w:r>
            <w:r w:rsidRPr="00343D56">
              <w:rPr>
                <w:rFonts w:cs="Arial"/>
                <w:color w:val="000000"/>
                <w:sz w:val="16"/>
                <w:szCs w:val="16"/>
                <w:lang w:eastAsia="es-PE"/>
              </w:rPr>
              <w:t xml:space="preserve"> </w:t>
            </w:r>
            <w:r w:rsidRPr="00343D56">
              <w:rPr>
                <w:rFonts w:ascii="Calibri" w:hAnsi="Calibri" w:cs="Calibri"/>
                <w:b/>
                <w:bCs/>
                <w:color w:val="000000"/>
                <w:sz w:val="16"/>
                <w:szCs w:val="16"/>
                <w:lang w:eastAsia="es-PE"/>
              </w:rPr>
              <w:t xml:space="preserve">4.2.2: </w:t>
            </w:r>
            <w:r w:rsidRPr="00343D56">
              <w:rPr>
                <w:rFonts w:ascii="Calibri" w:hAnsi="Calibri" w:cs="Calibri"/>
                <w:color w:val="000000"/>
                <w:sz w:val="16"/>
                <w:szCs w:val="16"/>
                <w:lang w:eastAsia="es-PE"/>
              </w:rPr>
              <w:t>Partes interesadas del proyecto son conscientes de las soluciones propuestas por el proyecto.</w:t>
            </w:r>
          </w:p>
        </w:tc>
        <w:tc>
          <w:tcPr>
            <w:tcW w:w="0" w:type="auto"/>
            <w:vAlign w:val="center"/>
            <w:hideMark/>
          </w:tcPr>
          <w:p w14:paraId="5E10A30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196,800.00 </w:t>
            </w:r>
          </w:p>
        </w:tc>
        <w:tc>
          <w:tcPr>
            <w:tcW w:w="0" w:type="auto"/>
            <w:vAlign w:val="center"/>
            <w:hideMark/>
          </w:tcPr>
          <w:p w14:paraId="3F4B0A9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CE18AB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31,789.77 </w:t>
            </w:r>
          </w:p>
        </w:tc>
        <w:tc>
          <w:tcPr>
            <w:tcW w:w="0" w:type="auto"/>
            <w:vAlign w:val="center"/>
            <w:hideMark/>
          </w:tcPr>
          <w:p w14:paraId="3394264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594.67 </w:t>
            </w:r>
          </w:p>
        </w:tc>
        <w:tc>
          <w:tcPr>
            <w:tcW w:w="0" w:type="auto"/>
            <w:vAlign w:val="center"/>
            <w:hideMark/>
          </w:tcPr>
          <w:p w14:paraId="558CBB9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594.67 </w:t>
            </w:r>
          </w:p>
        </w:tc>
        <w:tc>
          <w:tcPr>
            <w:tcW w:w="0" w:type="auto"/>
            <w:vAlign w:val="center"/>
            <w:hideMark/>
          </w:tcPr>
          <w:p w14:paraId="1306901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196,205.33 </w:t>
            </w:r>
          </w:p>
        </w:tc>
      </w:tr>
      <w:tr w:rsidR="00B13068" w:rsidRPr="00343D56" w14:paraId="72ABD115" w14:textId="77777777" w:rsidTr="002B637B">
        <w:trPr>
          <w:trHeight w:val="360"/>
        </w:trPr>
        <w:tc>
          <w:tcPr>
            <w:tcW w:w="0" w:type="auto"/>
            <w:vAlign w:val="center"/>
            <w:hideMark/>
          </w:tcPr>
          <w:p w14:paraId="109A200D"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Consultores internacionales </w:t>
            </w:r>
          </w:p>
        </w:tc>
        <w:tc>
          <w:tcPr>
            <w:tcW w:w="0" w:type="auto"/>
            <w:vAlign w:val="center"/>
            <w:hideMark/>
          </w:tcPr>
          <w:p w14:paraId="03CC48E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100,000.00 </w:t>
            </w:r>
          </w:p>
        </w:tc>
        <w:tc>
          <w:tcPr>
            <w:tcW w:w="0" w:type="auto"/>
            <w:vAlign w:val="center"/>
            <w:hideMark/>
          </w:tcPr>
          <w:p w14:paraId="4F155F8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1FF35FC"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6C6B9E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00D66CA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D11E5D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100,000.00 </w:t>
            </w:r>
          </w:p>
        </w:tc>
      </w:tr>
      <w:tr w:rsidR="00B13068" w:rsidRPr="00343D56" w14:paraId="051F3E7D" w14:textId="77777777" w:rsidTr="002B637B">
        <w:trPr>
          <w:trHeight w:val="360"/>
        </w:trPr>
        <w:tc>
          <w:tcPr>
            <w:tcW w:w="0" w:type="auto"/>
            <w:vAlign w:val="center"/>
            <w:hideMark/>
          </w:tcPr>
          <w:p w14:paraId="448105B8"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Consultores locales</w:t>
            </w:r>
          </w:p>
        </w:tc>
        <w:tc>
          <w:tcPr>
            <w:tcW w:w="0" w:type="auto"/>
            <w:vAlign w:val="center"/>
            <w:hideMark/>
          </w:tcPr>
          <w:p w14:paraId="24C53DA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37,000.00 </w:t>
            </w:r>
          </w:p>
        </w:tc>
        <w:tc>
          <w:tcPr>
            <w:tcW w:w="0" w:type="auto"/>
            <w:vAlign w:val="center"/>
            <w:hideMark/>
          </w:tcPr>
          <w:p w14:paraId="3DDC343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43CD2E4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175280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768D139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1D34940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37,000.00 </w:t>
            </w:r>
          </w:p>
        </w:tc>
      </w:tr>
      <w:tr w:rsidR="00B13068" w:rsidRPr="00343D56" w14:paraId="4AC9D2F7" w14:textId="77777777" w:rsidTr="002B637B">
        <w:trPr>
          <w:trHeight w:val="360"/>
        </w:trPr>
        <w:tc>
          <w:tcPr>
            <w:tcW w:w="0" w:type="auto"/>
            <w:vAlign w:val="center"/>
            <w:hideMark/>
          </w:tcPr>
          <w:p w14:paraId="1AACFD81"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Costo de producción audiovisual y de impresión</w:t>
            </w:r>
          </w:p>
        </w:tc>
        <w:tc>
          <w:tcPr>
            <w:tcW w:w="0" w:type="auto"/>
            <w:vAlign w:val="center"/>
            <w:hideMark/>
          </w:tcPr>
          <w:p w14:paraId="79860B4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12,000.00 </w:t>
            </w:r>
          </w:p>
        </w:tc>
        <w:tc>
          <w:tcPr>
            <w:tcW w:w="0" w:type="auto"/>
            <w:vAlign w:val="center"/>
            <w:hideMark/>
          </w:tcPr>
          <w:p w14:paraId="266AFB8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7140635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4E30507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2E8B6D8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5F673E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12,000.00 </w:t>
            </w:r>
          </w:p>
        </w:tc>
      </w:tr>
      <w:tr w:rsidR="00B13068" w:rsidRPr="00343D56" w14:paraId="50C87889" w14:textId="77777777" w:rsidTr="002B637B">
        <w:trPr>
          <w:trHeight w:val="360"/>
        </w:trPr>
        <w:tc>
          <w:tcPr>
            <w:tcW w:w="0" w:type="auto"/>
            <w:shd w:val="clear" w:color="D9E2F3" w:fill="D9E2F3"/>
            <w:vAlign w:val="center"/>
            <w:hideMark/>
          </w:tcPr>
          <w:p w14:paraId="3BAF2A58"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Gestión del Proyecto </w:t>
            </w:r>
          </w:p>
        </w:tc>
        <w:tc>
          <w:tcPr>
            <w:tcW w:w="0" w:type="auto"/>
            <w:shd w:val="clear" w:color="D9E2F3" w:fill="D9E2F3"/>
            <w:vAlign w:val="center"/>
            <w:hideMark/>
          </w:tcPr>
          <w:p w14:paraId="49F838ED"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645,784.00 </w:t>
            </w:r>
          </w:p>
        </w:tc>
        <w:tc>
          <w:tcPr>
            <w:tcW w:w="0" w:type="auto"/>
            <w:shd w:val="clear" w:color="D9E2F3" w:fill="D9E2F3"/>
            <w:vAlign w:val="center"/>
            <w:hideMark/>
          </w:tcPr>
          <w:p w14:paraId="52ACB676"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69,805.57 </w:t>
            </w:r>
          </w:p>
        </w:tc>
        <w:tc>
          <w:tcPr>
            <w:tcW w:w="0" w:type="auto"/>
            <w:shd w:val="clear" w:color="D9E2F3" w:fill="D9E2F3"/>
            <w:vAlign w:val="center"/>
            <w:hideMark/>
          </w:tcPr>
          <w:p w14:paraId="46E0A8F4"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84,653.66 </w:t>
            </w:r>
          </w:p>
        </w:tc>
        <w:tc>
          <w:tcPr>
            <w:tcW w:w="0" w:type="auto"/>
            <w:shd w:val="clear" w:color="D9E2F3" w:fill="D9E2F3"/>
            <w:vAlign w:val="center"/>
            <w:hideMark/>
          </w:tcPr>
          <w:p w14:paraId="33BE7B8C"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87,323.24 </w:t>
            </w:r>
          </w:p>
        </w:tc>
        <w:tc>
          <w:tcPr>
            <w:tcW w:w="0" w:type="auto"/>
            <w:shd w:val="clear" w:color="D9E2F3" w:fill="D9E2F3"/>
            <w:vAlign w:val="center"/>
            <w:hideMark/>
          </w:tcPr>
          <w:p w14:paraId="2D967AB5"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157,128.81 </w:t>
            </w:r>
          </w:p>
        </w:tc>
        <w:tc>
          <w:tcPr>
            <w:tcW w:w="0" w:type="auto"/>
            <w:shd w:val="clear" w:color="D9E2F3" w:fill="D9E2F3"/>
            <w:vAlign w:val="center"/>
            <w:hideMark/>
          </w:tcPr>
          <w:p w14:paraId="00EE4B3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488,655.19 </w:t>
            </w:r>
          </w:p>
        </w:tc>
      </w:tr>
      <w:tr w:rsidR="00B13068" w:rsidRPr="00343D56" w14:paraId="44FF5726" w14:textId="77777777" w:rsidTr="002B637B">
        <w:trPr>
          <w:trHeight w:val="360"/>
        </w:trPr>
        <w:tc>
          <w:tcPr>
            <w:tcW w:w="0" w:type="auto"/>
            <w:vAlign w:val="center"/>
            <w:hideMark/>
          </w:tcPr>
          <w:p w14:paraId="35C50DC4"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Coordinador del proyecto (70 meses)</w:t>
            </w:r>
          </w:p>
        </w:tc>
        <w:tc>
          <w:tcPr>
            <w:tcW w:w="0" w:type="auto"/>
            <w:vAlign w:val="center"/>
            <w:hideMark/>
          </w:tcPr>
          <w:p w14:paraId="63ADF00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238,000.50 </w:t>
            </w:r>
          </w:p>
        </w:tc>
        <w:tc>
          <w:tcPr>
            <w:tcW w:w="0" w:type="auto"/>
            <w:vAlign w:val="center"/>
            <w:hideMark/>
          </w:tcPr>
          <w:p w14:paraId="22DDC52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29,082.42 </w:t>
            </w:r>
          </w:p>
        </w:tc>
        <w:tc>
          <w:tcPr>
            <w:tcW w:w="0" w:type="auto"/>
            <w:vAlign w:val="center"/>
            <w:hideMark/>
          </w:tcPr>
          <w:p w14:paraId="30E18B7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37,954.67 </w:t>
            </w:r>
          </w:p>
        </w:tc>
        <w:tc>
          <w:tcPr>
            <w:tcW w:w="0" w:type="auto"/>
            <w:vAlign w:val="center"/>
            <w:hideMark/>
          </w:tcPr>
          <w:p w14:paraId="57B0185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40,416.66 </w:t>
            </w:r>
          </w:p>
        </w:tc>
        <w:tc>
          <w:tcPr>
            <w:tcW w:w="0" w:type="auto"/>
            <w:vAlign w:val="center"/>
            <w:hideMark/>
          </w:tcPr>
          <w:p w14:paraId="19A29FB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69,499.08 </w:t>
            </w:r>
          </w:p>
        </w:tc>
        <w:tc>
          <w:tcPr>
            <w:tcW w:w="0" w:type="auto"/>
            <w:vAlign w:val="center"/>
            <w:hideMark/>
          </w:tcPr>
          <w:p w14:paraId="0ED60EB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168,501.42 </w:t>
            </w:r>
          </w:p>
        </w:tc>
      </w:tr>
      <w:tr w:rsidR="00B13068" w:rsidRPr="00343D56" w14:paraId="3E0113F2" w14:textId="77777777" w:rsidTr="002B637B">
        <w:trPr>
          <w:trHeight w:val="360"/>
        </w:trPr>
        <w:tc>
          <w:tcPr>
            <w:tcW w:w="0" w:type="auto"/>
            <w:vAlign w:val="center"/>
            <w:hideMark/>
          </w:tcPr>
          <w:p w14:paraId="12BF3063"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Administrador (70 meses)</w:t>
            </w:r>
          </w:p>
        </w:tc>
        <w:tc>
          <w:tcPr>
            <w:tcW w:w="0" w:type="auto"/>
            <w:vAlign w:val="center"/>
            <w:hideMark/>
          </w:tcPr>
          <w:p w14:paraId="4BB008C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156,964.50 </w:t>
            </w:r>
          </w:p>
        </w:tc>
        <w:tc>
          <w:tcPr>
            <w:tcW w:w="0" w:type="auto"/>
            <w:vAlign w:val="center"/>
            <w:hideMark/>
          </w:tcPr>
          <w:p w14:paraId="3B4E7B3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34,301.54 </w:t>
            </w:r>
          </w:p>
        </w:tc>
        <w:tc>
          <w:tcPr>
            <w:tcW w:w="0" w:type="auto"/>
            <w:vAlign w:val="center"/>
            <w:hideMark/>
          </w:tcPr>
          <w:p w14:paraId="4CD99F2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30,047.44 </w:t>
            </w:r>
          </w:p>
        </w:tc>
        <w:tc>
          <w:tcPr>
            <w:tcW w:w="0" w:type="auto"/>
            <w:vAlign w:val="center"/>
            <w:hideMark/>
          </w:tcPr>
          <w:p w14:paraId="53BC9C6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31,997.92 </w:t>
            </w:r>
          </w:p>
        </w:tc>
        <w:tc>
          <w:tcPr>
            <w:tcW w:w="0" w:type="auto"/>
            <w:vAlign w:val="center"/>
            <w:hideMark/>
          </w:tcPr>
          <w:p w14:paraId="05C7E19A"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66,299.46 </w:t>
            </w:r>
          </w:p>
        </w:tc>
        <w:tc>
          <w:tcPr>
            <w:tcW w:w="0" w:type="auto"/>
            <w:vAlign w:val="center"/>
            <w:hideMark/>
          </w:tcPr>
          <w:p w14:paraId="6026727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90,665.04 </w:t>
            </w:r>
          </w:p>
        </w:tc>
      </w:tr>
      <w:tr w:rsidR="00B13068" w:rsidRPr="00343D56" w14:paraId="75C242AD" w14:textId="77777777" w:rsidTr="002B637B">
        <w:trPr>
          <w:trHeight w:val="360"/>
        </w:trPr>
        <w:tc>
          <w:tcPr>
            <w:tcW w:w="0" w:type="auto"/>
            <w:vAlign w:val="center"/>
            <w:hideMark/>
          </w:tcPr>
          <w:p w14:paraId="4A66FBE9"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Asistente Administrativo </w:t>
            </w:r>
          </w:p>
        </w:tc>
        <w:tc>
          <w:tcPr>
            <w:tcW w:w="0" w:type="auto"/>
            <w:vAlign w:val="center"/>
            <w:hideMark/>
          </w:tcPr>
          <w:p w14:paraId="6BDB010B"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4BC3F64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7CD238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12,651.56 </w:t>
            </w:r>
          </w:p>
        </w:tc>
        <w:tc>
          <w:tcPr>
            <w:tcW w:w="0" w:type="auto"/>
            <w:vAlign w:val="center"/>
            <w:hideMark/>
          </w:tcPr>
          <w:p w14:paraId="53D8719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14,011.03 </w:t>
            </w:r>
          </w:p>
        </w:tc>
        <w:tc>
          <w:tcPr>
            <w:tcW w:w="0" w:type="auto"/>
            <w:vAlign w:val="center"/>
            <w:hideMark/>
          </w:tcPr>
          <w:p w14:paraId="318AAA9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14,011.03 </w:t>
            </w:r>
          </w:p>
        </w:tc>
        <w:tc>
          <w:tcPr>
            <w:tcW w:w="0" w:type="auto"/>
            <w:vAlign w:val="center"/>
            <w:hideMark/>
          </w:tcPr>
          <w:p w14:paraId="2FC00D1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14,011.03 </w:t>
            </w:r>
          </w:p>
        </w:tc>
      </w:tr>
      <w:tr w:rsidR="00B13068" w:rsidRPr="00343D56" w14:paraId="4E946E04" w14:textId="77777777" w:rsidTr="002B637B">
        <w:trPr>
          <w:trHeight w:val="360"/>
        </w:trPr>
        <w:tc>
          <w:tcPr>
            <w:tcW w:w="0" w:type="auto"/>
            <w:vAlign w:val="center"/>
            <w:hideMark/>
          </w:tcPr>
          <w:p w14:paraId="3884F091"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Especialista Adquisiciones y Finanzas (48 meses)</w:t>
            </w:r>
          </w:p>
        </w:tc>
        <w:tc>
          <w:tcPr>
            <w:tcW w:w="0" w:type="auto"/>
            <w:vAlign w:val="center"/>
            <w:hideMark/>
          </w:tcPr>
          <w:p w14:paraId="5F0DBF1E"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220,800.00 </w:t>
            </w:r>
          </w:p>
        </w:tc>
        <w:tc>
          <w:tcPr>
            <w:tcW w:w="0" w:type="auto"/>
            <w:vAlign w:val="center"/>
            <w:hideMark/>
          </w:tcPr>
          <w:p w14:paraId="2D69D6F0"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50678463"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2E4EA395"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19E647E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26101F2"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220,800.00 </w:t>
            </w:r>
          </w:p>
        </w:tc>
      </w:tr>
      <w:tr w:rsidR="00B13068" w:rsidRPr="00343D56" w14:paraId="7F674D2C" w14:textId="77777777" w:rsidTr="002B637B">
        <w:trPr>
          <w:trHeight w:val="360"/>
        </w:trPr>
        <w:tc>
          <w:tcPr>
            <w:tcW w:w="0" w:type="auto"/>
            <w:vAlign w:val="center"/>
            <w:hideMark/>
          </w:tcPr>
          <w:p w14:paraId="2F4D65C6"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t>Auditorias</w:t>
            </w:r>
          </w:p>
        </w:tc>
        <w:tc>
          <w:tcPr>
            <w:tcW w:w="0" w:type="auto"/>
            <w:vAlign w:val="center"/>
            <w:hideMark/>
          </w:tcPr>
          <w:p w14:paraId="474619F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24,000.00 </w:t>
            </w:r>
          </w:p>
        </w:tc>
        <w:tc>
          <w:tcPr>
            <w:tcW w:w="0" w:type="auto"/>
            <w:vAlign w:val="center"/>
            <w:hideMark/>
          </w:tcPr>
          <w:p w14:paraId="676026E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6EC12888"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4,000.00 </w:t>
            </w:r>
          </w:p>
        </w:tc>
        <w:tc>
          <w:tcPr>
            <w:tcW w:w="0" w:type="auto"/>
            <w:vAlign w:val="center"/>
            <w:hideMark/>
          </w:tcPr>
          <w:p w14:paraId="033CE79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897.63 </w:t>
            </w:r>
          </w:p>
        </w:tc>
        <w:tc>
          <w:tcPr>
            <w:tcW w:w="0" w:type="auto"/>
            <w:vAlign w:val="center"/>
            <w:hideMark/>
          </w:tcPr>
          <w:p w14:paraId="528D3AD6"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897.63 </w:t>
            </w:r>
          </w:p>
        </w:tc>
        <w:tc>
          <w:tcPr>
            <w:tcW w:w="0" w:type="auto"/>
            <w:vAlign w:val="center"/>
            <w:hideMark/>
          </w:tcPr>
          <w:p w14:paraId="0F16F951"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23,102.37 </w:t>
            </w:r>
          </w:p>
        </w:tc>
      </w:tr>
      <w:tr w:rsidR="00B13068" w:rsidRPr="00343D56" w14:paraId="2B9B6B6C" w14:textId="77777777" w:rsidTr="002B637B">
        <w:trPr>
          <w:trHeight w:val="360"/>
        </w:trPr>
        <w:tc>
          <w:tcPr>
            <w:tcW w:w="0" w:type="auto"/>
            <w:vAlign w:val="center"/>
            <w:hideMark/>
          </w:tcPr>
          <w:p w14:paraId="39088C64" w14:textId="77777777" w:rsidR="00B13068" w:rsidRPr="00343D56" w:rsidRDefault="00B13068" w:rsidP="002B637B">
            <w:pPr>
              <w:spacing w:after="0"/>
              <w:jc w:val="left"/>
              <w:rPr>
                <w:rFonts w:ascii="Calibri" w:hAnsi="Calibri" w:cs="Calibri"/>
                <w:color w:val="000000"/>
                <w:sz w:val="16"/>
                <w:szCs w:val="16"/>
                <w:lang w:eastAsia="es-PE"/>
              </w:rPr>
            </w:pPr>
            <w:r w:rsidRPr="00343D56">
              <w:rPr>
                <w:rFonts w:ascii="Calibri" w:hAnsi="Calibri" w:cs="Calibri"/>
                <w:color w:val="000000"/>
                <w:sz w:val="16"/>
                <w:szCs w:val="16"/>
                <w:lang w:eastAsia="es-PE"/>
              </w:rPr>
              <w:lastRenderedPageBreak/>
              <w:t>Equipo de tecnología de la información</w:t>
            </w:r>
          </w:p>
        </w:tc>
        <w:tc>
          <w:tcPr>
            <w:tcW w:w="0" w:type="auto"/>
            <w:vAlign w:val="center"/>
            <w:hideMark/>
          </w:tcPr>
          <w:p w14:paraId="17FEB877"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6,019.00 </w:t>
            </w:r>
          </w:p>
        </w:tc>
        <w:tc>
          <w:tcPr>
            <w:tcW w:w="0" w:type="auto"/>
            <w:vAlign w:val="center"/>
            <w:hideMark/>
          </w:tcPr>
          <w:p w14:paraId="21F7626F"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6,421.61 </w:t>
            </w:r>
          </w:p>
        </w:tc>
        <w:tc>
          <w:tcPr>
            <w:tcW w:w="0" w:type="auto"/>
            <w:vAlign w:val="center"/>
            <w:hideMark/>
          </w:tcPr>
          <w:p w14:paraId="2A87EE7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   </w:t>
            </w:r>
          </w:p>
        </w:tc>
        <w:tc>
          <w:tcPr>
            <w:tcW w:w="0" w:type="auto"/>
            <w:vAlign w:val="center"/>
            <w:hideMark/>
          </w:tcPr>
          <w:p w14:paraId="3BD39F79"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w:t>
            </w:r>
          </w:p>
        </w:tc>
        <w:tc>
          <w:tcPr>
            <w:tcW w:w="0" w:type="auto"/>
            <w:vAlign w:val="center"/>
            <w:hideMark/>
          </w:tcPr>
          <w:p w14:paraId="4099BBCD"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6,421.61 </w:t>
            </w:r>
          </w:p>
        </w:tc>
        <w:tc>
          <w:tcPr>
            <w:tcW w:w="0" w:type="auto"/>
            <w:vAlign w:val="center"/>
            <w:hideMark/>
          </w:tcPr>
          <w:p w14:paraId="64C66EF4" w14:textId="77777777" w:rsidR="00B13068" w:rsidRPr="00343D56" w:rsidRDefault="00B13068" w:rsidP="002B637B">
            <w:pPr>
              <w:spacing w:after="0"/>
              <w:jc w:val="right"/>
              <w:rPr>
                <w:rFonts w:ascii="Calibri" w:hAnsi="Calibri" w:cs="Calibri"/>
                <w:color w:val="000000"/>
                <w:sz w:val="16"/>
                <w:szCs w:val="16"/>
                <w:lang w:eastAsia="es-PE"/>
              </w:rPr>
            </w:pPr>
            <w:r w:rsidRPr="00343D56">
              <w:rPr>
                <w:rFonts w:ascii="Calibri" w:hAnsi="Calibri" w:cs="Calibri"/>
                <w:color w:val="000000"/>
                <w:sz w:val="16"/>
                <w:szCs w:val="16"/>
                <w:lang w:eastAsia="es-PE"/>
              </w:rPr>
              <w:t xml:space="preserve">-                402.61 </w:t>
            </w:r>
          </w:p>
        </w:tc>
      </w:tr>
      <w:tr w:rsidR="00B13068" w:rsidRPr="00343D56" w14:paraId="48EB2823" w14:textId="77777777" w:rsidTr="002B637B">
        <w:trPr>
          <w:trHeight w:val="360"/>
        </w:trPr>
        <w:tc>
          <w:tcPr>
            <w:tcW w:w="0" w:type="auto"/>
            <w:shd w:val="clear" w:color="D9E2F3" w:fill="D9E2F3"/>
            <w:vAlign w:val="center"/>
            <w:hideMark/>
          </w:tcPr>
          <w:p w14:paraId="0474CD7A" w14:textId="77777777" w:rsidR="00B13068" w:rsidRPr="00343D56" w:rsidRDefault="00B13068" w:rsidP="002B637B">
            <w:pPr>
              <w:spacing w:after="0"/>
              <w:jc w:val="lef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Total </w:t>
            </w:r>
          </w:p>
        </w:tc>
        <w:tc>
          <w:tcPr>
            <w:tcW w:w="0" w:type="auto"/>
            <w:shd w:val="clear" w:color="D9E2F3" w:fill="D9E2F3"/>
            <w:vAlign w:val="center"/>
            <w:hideMark/>
          </w:tcPr>
          <w:p w14:paraId="0FFB807D"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13,561,467.00 </w:t>
            </w:r>
          </w:p>
        </w:tc>
        <w:tc>
          <w:tcPr>
            <w:tcW w:w="0" w:type="auto"/>
            <w:shd w:val="clear" w:color="D9E2F3" w:fill="D9E2F3"/>
            <w:vAlign w:val="center"/>
            <w:hideMark/>
          </w:tcPr>
          <w:p w14:paraId="3E7CF39B"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321,322.55 </w:t>
            </w:r>
          </w:p>
        </w:tc>
        <w:tc>
          <w:tcPr>
            <w:tcW w:w="0" w:type="auto"/>
            <w:shd w:val="clear" w:color="D9E2F3" w:fill="D9E2F3"/>
            <w:vAlign w:val="center"/>
            <w:hideMark/>
          </w:tcPr>
          <w:p w14:paraId="5A9A63FD"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2,612,997.94 </w:t>
            </w:r>
          </w:p>
        </w:tc>
        <w:tc>
          <w:tcPr>
            <w:tcW w:w="0" w:type="auto"/>
            <w:shd w:val="clear" w:color="D9E2F3" w:fill="D9E2F3"/>
            <w:vAlign w:val="center"/>
            <w:hideMark/>
          </w:tcPr>
          <w:p w14:paraId="6FFAC337"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983,950.60 </w:t>
            </w:r>
          </w:p>
        </w:tc>
        <w:tc>
          <w:tcPr>
            <w:tcW w:w="0" w:type="auto"/>
            <w:shd w:val="clear" w:color="D9E2F3" w:fill="D9E2F3"/>
            <w:vAlign w:val="center"/>
            <w:hideMark/>
          </w:tcPr>
          <w:p w14:paraId="021FFAD0"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1,305,273.15 </w:t>
            </w:r>
          </w:p>
        </w:tc>
        <w:tc>
          <w:tcPr>
            <w:tcW w:w="0" w:type="auto"/>
            <w:shd w:val="clear" w:color="D9E2F3" w:fill="D9E2F3"/>
            <w:vAlign w:val="center"/>
            <w:hideMark/>
          </w:tcPr>
          <w:p w14:paraId="1FE5AB59" w14:textId="77777777" w:rsidR="00B13068" w:rsidRPr="00343D56" w:rsidRDefault="00B13068" w:rsidP="002B637B">
            <w:pPr>
              <w:spacing w:after="0"/>
              <w:jc w:val="right"/>
              <w:rPr>
                <w:rFonts w:ascii="Calibri" w:hAnsi="Calibri" w:cs="Calibri"/>
                <w:b/>
                <w:bCs/>
                <w:color w:val="000000"/>
                <w:sz w:val="16"/>
                <w:szCs w:val="16"/>
                <w:lang w:eastAsia="es-PE"/>
              </w:rPr>
            </w:pPr>
            <w:r w:rsidRPr="00343D56">
              <w:rPr>
                <w:rFonts w:ascii="Calibri" w:hAnsi="Calibri" w:cs="Calibri"/>
                <w:b/>
                <w:bCs/>
                <w:color w:val="000000"/>
                <w:sz w:val="16"/>
                <w:szCs w:val="16"/>
                <w:lang w:eastAsia="es-PE"/>
              </w:rPr>
              <w:t xml:space="preserve">     12,256,193.85 </w:t>
            </w:r>
          </w:p>
        </w:tc>
      </w:tr>
    </w:tbl>
    <w:p w14:paraId="388A46A4" w14:textId="77777777" w:rsidR="00B13068" w:rsidRDefault="00B13068" w:rsidP="00557C49">
      <w:pPr>
        <w:ind w:left="360"/>
        <w:rPr>
          <w:rFonts w:asciiTheme="minorHAnsi" w:hAnsiTheme="minorHAnsi" w:cstheme="minorBidi"/>
          <w:sz w:val="20"/>
          <w:szCs w:val="20"/>
        </w:rPr>
      </w:pPr>
    </w:p>
    <w:p w14:paraId="0FB9263E" w14:textId="47106388" w:rsidR="31BDC04C" w:rsidRPr="00DE692F" w:rsidRDefault="78958753" w:rsidP="00C2643E">
      <w:pPr>
        <w:pStyle w:val="Prrafodelista"/>
        <w:numPr>
          <w:ilvl w:val="0"/>
          <w:numId w:val="21"/>
        </w:numPr>
        <w:rPr>
          <w:rFonts w:asciiTheme="minorHAnsi" w:hAnsiTheme="minorHAnsi" w:cstheme="minorHAnsi"/>
          <w:b/>
          <w:bCs/>
          <w:sz w:val="20"/>
          <w:szCs w:val="20"/>
        </w:rPr>
      </w:pPr>
      <w:r w:rsidRPr="00DE692F">
        <w:rPr>
          <w:rFonts w:asciiTheme="minorHAnsi" w:eastAsiaTheme="minorEastAsia" w:hAnsiTheme="minorHAnsi" w:cstheme="minorBidi"/>
          <w:b/>
          <w:bCs/>
          <w:sz w:val="20"/>
          <w:szCs w:val="20"/>
        </w:rPr>
        <w:t>CONTRIBUCION AL CPD</w:t>
      </w:r>
      <w:r w:rsidR="00EC23EA" w:rsidRPr="00DE692F">
        <w:rPr>
          <w:rFonts w:asciiTheme="minorHAnsi" w:eastAsiaTheme="minorEastAsia" w:hAnsiTheme="minorHAnsi" w:cstheme="minorBidi"/>
          <w:b/>
          <w:bCs/>
          <w:sz w:val="20"/>
          <w:szCs w:val="20"/>
        </w:rPr>
        <w:t xml:space="preserve"> </w:t>
      </w:r>
    </w:p>
    <w:p w14:paraId="14EB4306" w14:textId="17F44F84" w:rsidR="31BDC04C" w:rsidRPr="00DE692F" w:rsidRDefault="78958753" w:rsidP="23C28CAE">
      <w:pPr>
        <w:ind w:left="284"/>
        <w:rPr>
          <w:rFonts w:asciiTheme="minorHAnsi" w:eastAsiaTheme="minorEastAsia" w:hAnsiTheme="minorHAnsi" w:cstheme="minorBidi"/>
          <w:sz w:val="20"/>
          <w:szCs w:val="20"/>
        </w:rPr>
      </w:pPr>
      <w:r w:rsidRPr="00DE692F">
        <w:rPr>
          <w:rFonts w:asciiTheme="minorHAnsi" w:eastAsiaTheme="minorEastAsia" w:hAnsiTheme="minorHAnsi" w:cstheme="minorBidi"/>
          <w:sz w:val="20"/>
          <w:szCs w:val="20"/>
        </w:rPr>
        <w:t>Fundament</w:t>
      </w:r>
      <w:r w:rsidR="00865C08" w:rsidRPr="00DE692F">
        <w:rPr>
          <w:rFonts w:asciiTheme="minorHAnsi" w:eastAsiaTheme="minorEastAsia" w:hAnsiTheme="minorHAnsi" w:cstheme="minorBidi"/>
          <w:sz w:val="20"/>
          <w:szCs w:val="20"/>
        </w:rPr>
        <w:t xml:space="preserve">ar </w:t>
      </w:r>
      <w:r w:rsidRPr="00DE692F">
        <w:rPr>
          <w:rFonts w:asciiTheme="minorHAnsi" w:eastAsiaTheme="minorEastAsia" w:hAnsiTheme="minorHAnsi" w:cstheme="minorBidi"/>
          <w:sz w:val="20"/>
          <w:szCs w:val="20"/>
        </w:rPr>
        <w:t xml:space="preserve">de qué manera el proyecto ha venido contribuyendo al </w:t>
      </w:r>
      <w:r w:rsidR="00EB4868" w:rsidRPr="00DE692F">
        <w:rPr>
          <w:rFonts w:asciiTheme="minorHAnsi" w:eastAsiaTheme="minorEastAsia" w:hAnsiTheme="minorHAnsi" w:cstheme="minorBidi"/>
          <w:sz w:val="20"/>
          <w:szCs w:val="20"/>
        </w:rPr>
        <w:t xml:space="preserve">Documento Programa </w:t>
      </w:r>
      <w:r w:rsidR="00AE49FA" w:rsidRPr="00DE692F">
        <w:rPr>
          <w:rFonts w:asciiTheme="minorHAnsi" w:eastAsiaTheme="minorEastAsia" w:hAnsiTheme="minorHAnsi" w:cstheme="minorBidi"/>
          <w:sz w:val="20"/>
          <w:szCs w:val="20"/>
        </w:rPr>
        <w:t>País (</w:t>
      </w:r>
      <w:r w:rsidRPr="00DE692F">
        <w:rPr>
          <w:rFonts w:asciiTheme="minorHAnsi" w:eastAsiaTheme="minorEastAsia" w:hAnsiTheme="minorHAnsi" w:cstheme="minorBidi"/>
          <w:sz w:val="20"/>
          <w:szCs w:val="20"/>
        </w:rPr>
        <w:t>CPD</w:t>
      </w:r>
      <w:r w:rsidR="00AE49FA" w:rsidRPr="00DE692F">
        <w:rPr>
          <w:rFonts w:asciiTheme="minorHAnsi" w:eastAsiaTheme="minorEastAsia" w:hAnsiTheme="minorHAnsi" w:cstheme="minorBidi"/>
          <w:sz w:val="20"/>
          <w:szCs w:val="20"/>
        </w:rPr>
        <w:t>)</w:t>
      </w:r>
      <w:r w:rsidR="00B15E88" w:rsidRPr="00DE692F">
        <w:rPr>
          <w:rStyle w:val="Refdenotaalpie"/>
          <w:rFonts w:eastAsiaTheme="minorEastAsia" w:cstheme="minorBidi"/>
        </w:rPr>
        <w:footnoteReference w:id="34"/>
      </w:r>
      <w:r w:rsidRPr="00DE692F">
        <w:rPr>
          <w:rFonts w:asciiTheme="minorHAnsi" w:eastAsiaTheme="minorEastAsia" w:hAnsiTheme="minorHAnsi" w:cstheme="minorBidi"/>
          <w:sz w:val="20"/>
          <w:szCs w:val="20"/>
        </w:rPr>
        <w:t xml:space="preserve">, detallando los principales </w:t>
      </w:r>
      <w:r w:rsidR="087E887C" w:rsidRPr="00DE692F">
        <w:rPr>
          <w:rFonts w:asciiTheme="minorHAnsi" w:eastAsiaTheme="minorEastAsia" w:hAnsiTheme="minorHAnsi" w:cstheme="minorBidi"/>
          <w:b/>
          <w:bCs/>
          <w:sz w:val="20"/>
          <w:szCs w:val="20"/>
        </w:rPr>
        <w:t>logros</w:t>
      </w:r>
      <w:r w:rsidR="001D5538" w:rsidRPr="00DE692F">
        <w:rPr>
          <w:rStyle w:val="Refdenotaalpie"/>
          <w:rFonts w:eastAsiaTheme="minorEastAsia" w:cstheme="minorBidi"/>
          <w:b/>
          <w:bCs/>
        </w:rPr>
        <w:footnoteReference w:id="35"/>
      </w:r>
      <w:r w:rsidR="00EE4FE6" w:rsidRPr="00DE692F">
        <w:rPr>
          <w:rFonts w:asciiTheme="minorHAnsi" w:eastAsiaTheme="minorEastAsia" w:hAnsiTheme="minorHAnsi" w:cstheme="minorBidi"/>
          <w:b/>
          <w:bCs/>
          <w:sz w:val="20"/>
          <w:szCs w:val="20"/>
        </w:rPr>
        <w:t xml:space="preserve"> (no actividades)</w:t>
      </w:r>
      <w:r w:rsidRPr="00DE692F">
        <w:rPr>
          <w:rFonts w:asciiTheme="minorHAnsi" w:eastAsiaTheme="minorEastAsia" w:hAnsiTheme="minorHAnsi" w:cstheme="minorBidi"/>
          <w:sz w:val="20"/>
          <w:szCs w:val="20"/>
        </w:rPr>
        <w:t xml:space="preserve"> del proyecto en función a</w:t>
      </w:r>
      <w:r w:rsidR="70308720" w:rsidRPr="00DE692F">
        <w:rPr>
          <w:rFonts w:asciiTheme="minorHAnsi" w:eastAsiaTheme="minorEastAsia" w:hAnsiTheme="minorHAnsi" w:cstheme="minorBidi"/>
          <w:sz w:val="20"/>
          <w:szCs w:val="20"/>
        </w:rPr>
        <w:t xml:space="preserve"> </w:t>
      </w:r>
      <w:r w:rsidRPr="00DE692F">
        <w:rPr>
          <w:rFonts w:asciiTheme="minorHAnsi" w:eastAsiaTheme="minorEastAsia" w:hAnsiTheme="minorHAnsi" w:cstheme="minorBidi"/>
          <w:sz w:val="20"/>
          <w:szCs w:val="20"/>
        </w:rPr>
        <w:t>l</w:t>
      </w:r>
      <w:r w:rsidR="65954A6F" w:rsidRPr="00DE692F">
        <w:rPr>
          <w:rFonts w:asciiTheme="minorHAnsi" w:eastAsiaTheme="minorEastAsia" w:hAnsiTheme="minorHAnsi" w:cstheme="minorBidi"/>
          <w:sz w:val="20"/>
          <w:szCs w:val="20"/>
        </w:rPr>
        <w:t>a alineación a</w:t>
      </w:r>
      <w:r w:rsidR="00E11C21" w:rsidRPr="00DE692F">
        <w:rPr>
          <w:rFonts w:asciiTheme="minorHAnsi" w:eastAsiaTheme="minorEastAsia" w:hAnsiTheme="minorHAnsi" w:cstheme="minorBidi"/>
          <w:sz w:val="20"/>
          <w:szCs w:val="20"/>
        </w:rPr>
        <w:t>l/los</w:t>
      </w:r>
      <w:r w:rsidR="00EF326C">
        <w:rPr>
          <w:rFonts w:asciiTheme="minorHAnsi" w:eastAsiaTheme="minorEastAsia" w:hAnsiTheme="minorHAnsi" w:cstheme="minorBidi"/>
          <w:sz w:val="20"/>
          <w:szCs w:val="20"/>
        </w:rPr>
        <w:t xml:space="preserve"> </w:t>
      </w:r>
      <w:r w:rsidR="00E11C21" w:rsidRPr="00DE692F">
        <w:rPr>
          <w:rFonts w:asciiTheme="minorHAnsi" w:eastAsiaTheme="minorEastAsia" w:hAnsiTheme="minorHAnsi" w:cstheme="minorBidi"/>
          <w:sz w:val="20"/>
          <w:szCs w:val="20"/>
        </w:rPr>
        <w:t>o</w:t>
      </w:r>
      <w:r w:rsidRPr="00DE692F">
        <w:rPr>
          <w:rFonts w:asciiTheme="minorHAnsi" w:eastAsiaTheme="minorEastAsia" w:hAnsiTheme="minorHAnsi" w:cstheme="minorBidi"/>
          <w:sz w:val="20"/>
          <w:szCs w:val="20"/>
        </w:rPr>
        <w:t>utput</w:t>
      </w:r>
      <w:r w:rsidR="00E11C21" w:rsidRPr="00DE692F">
        <w:rPr>
          <w:rFonts w:asciiTheme="minorHAnsi" w:eastAsiaTheme="minorEastAsia" w:hAnsiTheme="minorHAnsi" w:cstheme="minorBidi"/>
          <w:sz w:val="20"/>
          <w:szCs w:val="20"/>
        </w:rPr>
        <w:t>/s</w:t>
      </w:r>
      <w:r w:rsidR="00377B74" w:rsidRPr="00DE692F">
        <w:rPr>
          <w:rFonts w:asciiTheme="minorHAnsi" w:eastAsiaTheme="minorEastAsia" w:hAnsiTheme="minorHAnsi" w:cstheme="minorBidi"/>
          <w:sz w:val="20"/>
          <w:szCs w:val="20"/>
        </w:rPr>
        <w:t xml:space="preserve"> </w:t>
      </w:r>
      <w:r w:rsidRPr="00DE692F">
        <w:rPr>
          <w:rFonts w:asciiTheme="minorHAnsi" w:eastAsiaTheme="minorEastAsia" w:hAnsiTheme="minorHAnsi" w:cstheme="minorBidi"/>
          <w:sz w:val="20"/>
          <w:szCs w:val="20"/>
        </w:rPr>
        <w:t xml:space="preserve">del CPD </w:t>
      </w:r>
      <w:r w:rsidR="3A42D290" w:rsidRPr="00DE692F">
        <w:rPr>
          <w:rFonts w:asciiTheme="minorHAnsi" w:eastAsiaTheme="minorEastAsia" w:hAnsiTheme="minorHAnsi" w:cstheme="minorBidi"/>
          <w:sz w:val="20"/>
          <w:szCs w:val="20"/>
        </w:rPr>
        <w:t xml:space="preserve">y sus </w:t>
      </w:r>
      <w:r w:rsidR="6ACE9593" w:rsidRPr="00DE692F">
        <w:rPr>
          <w:rFonts w:asciiTheme="minorHAnsi" w:eastAsiaTheme="minorEastAsia" w:hAnsiTheme="minorHAnsi" w:cstheme="minorBidi"/>
          <w:sz w:val="20"/>
          <w:szCs w:val="20"/>
        </w:rPr>
        <w:t>respectivos</w:t>
      </w:r>
      <w:r w:rsidR="3A42D290" w:rsidRPr="00DE692F">
        <w:rPr>
          <w:rFonts w:asciiTheme="minorHAnsi" w:eastAsiaTheme="minorEastAsia" w:hAnsiTheme="minorHAnsi" w:cstheme="minorBidi"/>
          <w:sz w:val="20"/>
          <w:szCs w:val="20"/>
        </w:rPr>
        <w:t xml:space="preserve"> indicadores</w:t>
      </w:r>
      <w:r w:rsidRPr="00DE692F">
        <w:rPr>
          <w:rFonts w:asciiTheme="minorHAnsi" w:eastAsiaTheme="minorEastAsia" w:hAnsiTheme="minorHAnsi" w:cstheme="minorBidi"/>
          <w:sz w:val="20"/>
          <w:szCs w:val="20"/>
        </w:rPr>
        <w:t xml:space="preserve">. </w:t>
      </w:r>
    </w:p>
    <w:p w14:paraId="659F9433" w14:textId="77777777" w:rsidR="00562BAD" w:rsidRPr="00DE692F" w:rsidRDefault="00562BAD" w:rsidP="23C28CAE">
      <w:pPr>
        <w:ind w:left="284"/>
        <w:rPr>
          <w:rFonts w:asciiTheme="minorHAnsi" w:eastAsiaTheme="minorEastAsia" w:hAnsiTheme="minorHAnsi" w:cstheme="minorBidi"/>
          <w:sz w:val="20"/>
          <w:szCs w:val="2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662"/>
      </w:tblGrid>
      <w:tr w:rsidR="00CD6151" w:rsidRPr="00DE692F" w14:paraId="5B725E8D" w14:textId="77777777" w:rsidTr="007C096A">
        <w:trPr>
          <w:tblHeader/>
        </w:trPr>
        <w:tc>
          <w:tcPr>
            <w:tcW w:w="3006" w:type="dxa"/>
            <w:tcBorders>
              <w:bottom w:val="single" w:sz="4" w:space="0" w:color="auto"/>
            </w:tcBorders>
            <w:shd w:val="clear" w:color="auto" w:fill="BFBFBF" w:themeFill="background1" w:themeFillShade="BF"/>
          </w:tcPr>
          <w:p w14:paraId="5D040FE5" w14:textId="31C8E227" w:rsidR="00CD6151" w:rsidRPr="00DE692F" w:rsidRDefault="00CD6151" w:rsidP="3288A990">
            <w:pPr>
              <w:rPr>
                <w:b/>
                <w:bCs/>
                <w:color w:val="000000" w:themeColor="text1"/>
                <w:sz w:val="20"/>
                <w:szCs w:val="20"/>
              </w:rPr>
            </w:pPr>
            <w:r w:rsidRPr="00DE692F">
              <w:rPr>
                <w:rFonts w:asciiTheme="minorHAnsi" w:eastAsiaTheme="minorEastAsia" w:hAnsiTheme="minorHAnsi" w:cstheme="minorHAnsi"/>
                <w:b/>
                <w:bCs/>
                <w:sz w:val="20"/>
                <w:szCs w:val="20"/>
              </w:rPr>
              <w:t>Output del CPD (Principal)</w:t>
            </w:r>
          </w:p>
        </w:tc>
        <w:tc>
          <w:tcPr>
            <w:tcW w:w="6662" w:type="dxa"/>
            <w:tcBorders>
              <w:bottom w:val="single" w:sz="4" w:space="0" w:color="auto"/>
            </w:tcBorders>
            <w:shd w:val="clear" w:color="auto" w:fill="BFBFBF" w:themeFill="background1" w:themeFillShade="BF"/>
          </w:tcPr>
          <w:p w14:paraId="2A9DCCB8" w14:textId="7AB91FA7" w:rsidR="00CD6151" w:rsidRPr="00DE692F" w:rsidRDefault="005F4987" w:rsidP="3288A990">
            <w:pPr>
              <w:rPr>
                <w:b/>
                <w:bCs/>
                <w:color w:val="000000" w:themeColor="text1"/>
                <w:sz w:val="20"/>
                <w:szCs w:val="20"/>
              </w:rPr>
            </w:pPr>
            <w:r w:rsidRPr="00DE692F">
              <w:rPr>
                <w:rFonts w:asciiTheme="minorHAnsi" w:eastAsiaTheme="minorEastAsia" w:hAnsiTheme="minorHAnsi" w:cstheme="minorHAnsi"/>
                <w:b/>
                <w:bCs/>
                <w:sz w:val="20"/>
                <w:szCs w:val="20"/>
              </w:rPr>
              <w:t>Contribución del proyecto</w:t>
            </w:r>
          </w:p>
        </w:tc>
      </w:tr>
      <w:tr w:rsidR="00E11C21" w:rsidRPr="00DE692F" w14:paraId="3F3F98DD" w14:textId="77777777" w:rsidTr="00AE3C90">
        <w:trPr>
          <w:trHeight w:val="445"/>
        </w:trPr>
        <w:tc>
          <w:tcPr>
            <w:tcW w:w="9668" w:type="dxa"/>
            <w:gridSpan w:val="2"/>
            <w:tcBorders>
              <w:bottom w:val="single" w:sz="4" w:space="0" w:color="auto"/>
            </w:tcBorders>
            <w:shd w:val="clear" w:color="auto" w:fill="F2F2F2" w:themeFill="background1" w:themeFillShade="F2"/>
          </w:tcPr>
          <w:p w14:paraId="27D9C876" w14:textId="77777777" w:rsidR="00B871EC" w:rsidRPr="00DE692F" w:rsidRDefault="00B871EC" w:rsidP="00E11C21">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Resultado del Marco de Cooperación con participación del PNUD 2: Para 2026, la población y los ecosistemas, en particular los que se encuentran en situación de mayor vulnerabilidad, fortalecen su resiliencia como resultado de que las instituciones y las comunidades mejoren las políticas e implementen mecanismos o instrumentos efectivos para la gestión ambiental, del cambio climático y del riesgo de desastres y la gestión de crisis humanitarias, mediante un enfoque integral con especial énfasis en el género, los derechos, la interculturalidad, el ciclo vital y el territorio. </w:t>
            </w:r>
          </w:p>
          <w:p w14:paraId="71C2A52F" w14:textId="05EE73B6" w:rsidR="00E11C21" w:rsidRPr="00DE692F" w:rsidRDefault="00B871EC" w:rsidP="00E11C21">
            <w:pPr>
              <w:rPr>
                <w:rFonts w:asciiTheme="minorHAnsi" w:eastAsiaTheme="minorEastAsia" w:hAnsiTheme="minorHAnsi" w:cstheme="minorHAnsi"/>
                <w:b/>
                <w:bCs/>
                <w:sz w:val="20"/>
                <w:szCs w:val="20"/>
              </w:rPr>
            </w:pPr>
            <w:r w:rsidRPr="00DE692F">
              <w:rPr>
                <w:rFonts w:asciiTheme="minorHAnsi" w:eastAsiaTheme="minorEastAsia" w:hAnsiTheme="minorHAnsi" w:cstheme="minorHAnsi"/>
                <w:sz w:val="20"/>
                <w:szCs w:val="20"/>
              </w:rPr>
              <w:t>Resultado del Marco de Cooperación con participación del PNUD 3: Para 2026, la población, especialmente las personas que se encuentran en situación de mayor vulnerabilidad y discriminación, tiene más acceso a medios de vida resilientes gracias a la construcción de una matriz productiva diversificada, competitiva, formalizada, innovadora, sostenible e inclusiva, con trabajo decente y acorde con el potencial de cada territorio, por medio de un enfoque integral que hace especial hincapié en la cuestión de género, en particular a través del empoderamiento económico de las mujeres.</w:t>
            </w:r>
          </w:p>
        </w:tc>
      </w:tr>
      <w:tr w:rsidR="005B2192" w:rsidRPr="00DE692F" w14:paraId="6C1ADDC4" w14:textId="77777777" w:rsidTr="007C096A">
        <w:trPr>
          <w:trHeight w:val="288"/>
        </w:trPr>
        <w:tc>
          <w:tcPr>
            <w:tcW w:w="3006" w:type="dxa"/>
            <w:shd w:val="clear" w:color="auto" w:fill="F2F2F2" w:themeFill="background1" w:themeFillShade="F2"/>
            <w:vAlign w:val="center"/>
          </w:tcPr>
          <w:p w14:paraId="5B7CA4F4" w14:textId="2DD5827C" w:rsidR="005F4987" w:rsidRPr="00DE692F" w:rsidRDefault="00B871EC" w:rsidP="78958753">
            <w:pPr>
              <w:rPr>
                <w:rFonts w:asciiTheme="minorHAnsi" w:eastAsiaTheme="minorEastAsia" w:hAnsiTheme="minorHAnsi" w:cstheme="minorHAnsi"/>
                <w:sz w:val="20"/>
                <w:szCs w:val="20"/>
              </w:rPr>
            </w:pPr>
            <w:r w:rsidRPr="00DE692F">
              <w:rPr>
                <w:rFonts w:asciiTheme="minorHAnsi" w:eastAsiaTheme="minorEastAsia" w:hAnsiTheme="minorHAnsi" w:cstheme="minorHAnsi"/>
                <w:b/>
                <w:bCs/>
                <w:sz w:val="20"/>
                <w:szCs w:val="20"/>
              </w:rPr>
              <w:t>Indicador: 2.1.1. Número de políticas o instrumentos diseñados o aplicados para la gestión de la conservación, la biodiversidad sostenible, la naturaleza o el cambio climático</w:t>
            </w:r>
          </w:p>
        </w:tc>
        <w:tc>
          <w:tcPr>
            <w:tcW w:w="6662" w:type="dxa"/>
            <w:vAlign w:val="center"/>
          </w:tcPr>
          <w:p w14:paraId="368ABCC5" w14:textId="57887F79" w:rsidR="005B2192" w:rsidRPr="00DE692F" w:rsidRDefault="00B871EC"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 xml:space="preserve">Se aporta a la </w:t>
            </w:r>
            <w:r w:rsidR="00FE4F70" w:rsidRPr="00DE692F">
              <w:rPr>
                <w:rFonts w:asciiTheme="minorHAnsi" w:eastAsiaTheme="minorEastAsia" w:hAnsiTheme="minorHAnsi" w:cstheme="minorBidi"/>
                <w:i/>
                <w:iCs/>
                <w:sz w:val="20"/>
                <w:szCs w:val="20"/>
              </w:rPr>
              <w:t xml:space="preserve">implementación de </w:t>
            </w:r>
            <w:r w:rsidRPr="00DE692F">
              <w:rPr>
                <w:rFonts w:asciiTheme="minorHAnsi" w:eastAsiaTheme="minorEastAsia" w:hAnsiTheme="minorHAnsi" w:cstheme="minorBidi"/>
                <w:i/>
                <w:iCs/>
                <w:sz w:val="20"/>
                <w:szCs w:val="20"/>
              </w:rPr>
              <w:t>la Ley Forestal, mediante la promoción de los contratos para cesión de uso de sistemas agroforestales – CCUSAF.</w:t>
            </w:r>
          </w:p>
        </w:tc>
      </w:tr>
      <w:tr w:rsidR="005B2192" w:rsidRPr="00DE692F" w14:paraId="1F524EDA" w14:textId="77777777" w:rsidTr="007C096A">
        <w:trPr>
          <w:trHeight w:val="288"/>
        </w:trPr>
        <w:tc>
          <w:tcPr>
            <w:tcW w:w="3006" w:type="dxa"/>
            <w:shd w:val="clear" w:color="auto" w:fill="F2F2F2" w:themeFill="background1" w:themeFillShade="F2"/>
            <w:vAlign w:val="center"/>
          </w:tcPr>
          <w:p w14:paraId="7818C841" w14:textId="7281F445" w:rsidR="005B2192" w:rsidRPr="00DE692F" w:rsidRDefault="00B871EC" w:rsidP="78958753">
            <w:pP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Indicador: 2.1.2. Número de medidas apoyadas que contribuyen a la implementación de las contribuciones determinadas a nivel nacional</w:t>
            </w:r>
          </w:p>
        </w:tc>
        <w:tc>
          <w:tcPr>
            <w:tcW w:w="6662" w:type="dxa"/>
            <w:vAlign w:val="center"/>
          </w:tcPr>
          <w:p w14:paraId="45E11558" w14:textId="7761CEC3" w:rsidR="00E52BB2" w:rsidRDefault="00E52BB2" w:rsidP="00E52BB2">
            <w:pPr>
              <w:rPr>
                <w:rFonts w:asciiTheme="minorHAnsi" w:eastAsiaTheme="minorEastAsia" w:hAnsiTheme="minorHAnsi" w:cstheme="minorBidi"/>
                <w:i/>
                <w:iCs/>
                <w:sz w:val="20"/>
                <w:szCs w:val="20"/>
              </w:rPr>
            </w:pPr>
            <w:r w:rsidRPr="00E52BB2">
              <w:rPr>
                <w:rFonts w:asciiTheme="minorHAnsi" w:eastAsiaTheme="minorEastAsia" w:hAnsiTheme="minorHAnsi" w:cstheme="minorBidi"/>
                <w:i/>
                <w:iCs/>
                <w:sz w:val="20"/>
                <w:szCs w:val="20"/>
              </w:rPr>
              <w:t>Durante el 2025, s</w:t>
            </w:r>
            <w:r w:rsidR="00B871EC" w:rsidRPr="00E52BB2">
              <w:rPr>
                <w:rFonts w:asciiTheme="minorHAnsi" w:eastAsiaTheme="minorEastAsia" w:hAnsiTheme="minorHAnsi" w:cstheme="minorBidi"/>
                <w:i/>
                <w:iCs/>
                <w:sz w:val="20"/>
                <w:szCs w:val="20"/>
              </w:rPr>
              <w:t>e desarroll</w:t>
            </w:r>
            <w:r w:rsidR="004E5FA4" w:rsidRPr="00E52BB2">
              <w:rPr>
                <w:rFonts w:asciiTheme="minorHAnsi" w:eastAsiaTheme="minorEastAsia" w:hAnsiTheme="minorHAnsi" w:cstheme="minorBidi"/>
                <w:i/>
                <w:iCs/>
                <w:sz w:val="20"/>
                <w:szCs w:val="20"/>
              </w:rPr>
              <w:t>ó</w:t>
            </w:r>
            <w:r w:rsidR="00B871EC" w:rsidRPr="00E52BB2">
              <w:rPr>
                <w:rFonts w:asciiTheme="minorHAnsi" w:eastAsiaTheme="minorEastAsia" w:hAnsiTheme="minorHAnsi" w:cstheme="minorBidi"/>
                <w:i/>
                <w:iCs/>
                <w:sz w:val="20"/>
                <w:szCs w:val="20"/>
              </w:rPr>
              <w:t xml:space="preserve"> el estudio de estimación del potencial de mitigación de GEI del proyecto</w:t>
            </w:r>
            <w:r w:rsidRPr="00E52BB2">
              <w:rPr>
                <w:rFonts w:asciiTheme="minorHAnsi" w:eastAsiaTheme="minorEastAsia" w:hAnsiTheme="minorHAnsi" w:cstheme="minorBidi"/>
                <w:i/>
                <w:iCs/>
                <w:sz w:val="20"/>
                <w:szCs w:val="20"/>
              </w:rPr>
              <w:t>, determinando el aporte del proyecto a cuatro medidas de mitigación priorizadas en las NDC del Perú: Reducción de la deforestación, implementación y fortalecimiento de sistemas agroforestales, mejoramiento de la gestión sostenible de tierras agrícolas e incremento de las reservas de carbono en paisajes productivos.</w:t>
            </w:r>
          </w:p>
          <w:p w14:paraId="5F0F9E16" w14:textId="16BEDD86" w:rsidR="00E52BB2" w:rsidRDefault="00E52BB2" w:rsidP="00E52BB2">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A la fecha, se tienen avances en actividades que contribuyen a estas NDC, como el desarrollo de</w:t>
            </w:r>
            <w:r w:rsidRPr="00DE692F">
              <w:rPr>
                <w:rFonts w:asciiTheme="minorHAnsi" w:eastAsiaTheme="minorEastAsia" w:hAnsiTheme="minorHAnsi" w:cstheme="minorBidi"/>
                <w:i/>
                <w:iCs/>
                <w:sz w:val="20"/>
                <w:szCs w:val="20"/>
              </w:rPr>
              <w:t xml:space="preserve"> paquetes tecnológicos sostenibles </w:t>
            </w:r>
            <w:r>
              <w:rPr>
                <w:rFonts w:asciiTheme="minorHAnsi" w:eastAsiaTheme="minorEastAsia" w:hAnsiTheme="minorHAnsi" w:cstheme="minorBidi"/>
                <w:i/>
                <w:iCs/>
                <w:sz w:val="20"/>
                <w:szCs w:val="20"/>
              </w:rPr>
              <w:t>e</w:t>
            </w:r>
            <w:r w:rsidRPr="00DE692F">
              <w:rPr>
                <w:rFonts w:asciiTheme="minorHAnsi" w:eastAsiaTheme="minorEastAsia" w:hAnsiTheme="minorHAnsi" w:cstheme="minorBidi"/>
                <w:i/>
                <w:iCs/>
                <w:sz w:val="20"/>
                <w:szCs w:val="20"/>
              </w:rPr>
              <w:t>n San Martín,</w:t>
            </w:r>
            <w:r>
              <w:rPr>
                <w:rFonts w:asciiTheme="minorHAnsi" w:eastAsiaTheme="minorEastAsia" w:hAnsiTheme="minorHAnsi" w:cstheme="minorBidi"/>
                <w:i/>
                <w:iCs/>
                <w:sz w:val="20"/>
                <w:szCs w:val="20"/>
              </w:rPr>
              <w:t xml:space="preserve"> el inicio de la elaboración de la currícula cafetalera que permitirá mejorar la asistencia técnica y otros que se vienen</w:t>
            </w:r>
            <w:r w:rsidRPr="00DE692F">
              <w:rPr>
                <w:rFonts w:asciiTheme="minorHAnsi" w:eastAsiaTheme="minorEastAsia" w:hAnsiTheme="minorHAnsi" w:cstheme="minorBidi"/>
                <w:i/>
                <w:iCs/>
                <w:sz w:val="20"/>
                <w:szCs w:val="20"/>
              </w:rPr>
              <w:t xml:space="preserve"> trabajando con gobiernos regionales y mesas técnicas.</w:t>
            </w:r>
            <w:r>
              <w:rPr>
                <w:rFonts w:asciiTheme="minorHAnsi" w:eastAsiaTheme="minorEastAsia" w:hAnsiTheme="minorHAnsi" w:cstheme="minorBidi"/>
                <w:i/>
                <w:iCs/>
                <w:sz w:val="20"/>
                <w:szCs w:val="20"/>
              </w:rPr>
              <w:t xml:space="preserve"> Del mismo modo, con el trabajo que se viene realizando con gobiernos locales para incorporar la GIP en sus PDT y la implementación de CCUSA</w:t>
            </w:r>
            <w:r w:rsidR="005143A4">
              <w:rPr>
                <w:rFonts w:asciiTheme="minorHAnsi" w:eastAsiaTheme="minorEastAsia" w:hAnsiTheme="minorHAnsi" w:cstheme="minorBidi"/>
                <w:i/>
                <w:iCs/>
                <w:sz w:val="20"/>
                <w:szCs w:val="20"/>
              </w:rPr>
              <w:t xml:space="preserve">F, así como la restauración directa que se ha priorizado en los paisajes del proyecto. </w:t>
            </w:r>
          </w:p>
          <w:p w14:paraId="69C7569A" w14:textId="1AFCF8F0" w:rsidR="00CA37FD" w:rsidRPr="00DE692F" w:rsidRDefault="005143A4" w:rsidP="78958753">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La cuantificación de las NDC se realizará en el siguiente informe, cuando estos avances estén concretados.</w:t>
            </w:r>
          </w:p>
        </w:tc>
      </w:tr>
      <w:tr w:rsidR="002042E7" w:rsidRPr="00DE692F" w14:paraId="39EA77EF" w14:textId="77777777" w:rsidTr="007C096A">
        <w:trPr>
          <w:trHeight w:val="288"/>
        </w:trPr>
        <w:tc>
          <w:tcPr>
            <w:tcW w:w="3006" w:type="dxa"/>
            <w:shd w:val="clear" w:color="auto" w:fill="F2F2F2" w:themeFill="background1" w:themeFillShade="F2"/>
            <w:vAlign w:val="center"/>
          </w:tcPr>
          <w:p w14:paraId="5FC58227" w14:textId="0981C550" w:rsidR="002042E7" w:rsidRPr="00DE692F" w:rsidRDefault="00B871EC" w:rsidP="78958753">
            <w:pP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Indicador 2.1.3: Número de personas que han mejorado sus medios de vida mediante la conservación, el reconocimiento del valor y el uso sostenible de la biodiversidad o la naturaleza</w:t>
            </w:r>
          </w:p>
        </w:tc>
        <w:tc>
          <w:tcPr>
            <w:tcW w:w="6662" w:type="dxa"/>
            <w:vAlign w:val="center"/>
          </w:tcPr>
          <w:p w14:paraId="371EF6AF" w14:textId="736B80B9" w:rsidR="00CA37FD" w:rsidRPr="00DE692F" w:rsidRDefault="004E5FA4"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 xml:space="preserve">Al 31 de diciembre de 2025, se registraron </w:t>
            </w:r>
            <w:r w:rsidR="0031352A">
              <w:rPr>
                <w:rFonts w:asciiTheme="minorHAnsi" w:eastAsiaTheme="minorEastAsia" w:hAnsiTheme="minorHAnsi" w:cstheme="minorBidi"/>
                <w:i/>
                <w:iCs/>
                <w:sz w:val="20"/>
                <w:szCs w:val="20"/>
              </w:rPr>
              <w:t>1</w:t>
            </w:r>
            <w:r w:rsidR="00A95A83">
              <w:rPr>
                <w:rFonts w:asciiTheme="minorHAnsi" w:eastAsiaTheme="minorEastAsia" w:hAnsiTheme="minorHAnsi" w:cstheme="minorBidi"/>
                <w:i/>
                <w:iCs/>
                <w:sz w:val="20"/>
                <w:szCs w:val="20"/>
              </w:rPr>
              <w:t>1</w:t>
            </w:r>
            <w:r w:rsidRPr="00DE692F">
              <w:rPr>
                <w:rFonts w:asciiTheme="minorHAnsi" w:eastAsiaTheme="minorEastAsia" w:hAnsiTheme="minorHAnsi" w:cstheme="minorBidi"/>
                <w:i/>
                <w:iCs/>
                <w:sz w:val="20"/>
                <w:szCs w:val="20"/>
              </w:rPr>
              <w:t>,</w:t>
            </w:r>
            <w:r w:rsidR="00A95A83">
              <w:rPr>
                <w:rFonts w:asciiTheme="minorHAnsi" w:eastAsiaTheme="minorEastAsia" w:hAnsiTheme="minorHAnsi" w:cstheme="minorBidi"/>
                <w:i/>
                <w:iCs/>
                <w:sz w:val="20"/>
                <w:szCs w:val="20"/>
              </w:rPr>
              <w:t>285</w:t>
            </w:r>
            <w:r w:rsidRPr="00DE692F">
              <w:rPr>
                <w:rFonts w:asciiTheme="minorHAnsi" w:eastAsiaTheme="minorEastAsia" w:hAnsiTheme="minorHAnsi" w:cstheme="minorBidi"/>
                <w:i/>
                <w:iCs/>
                <w:sz w:val="20"/>
                <w:szCs w:val="20"/>
              </w:rPr>
              <w:t xml:space="preserve"> beneficiarios (meta final; 120,000 beneficiarios/as) </w:t>
            </w:r>
            <w:r w:rsidRPr="00A95A83">
              <w:rPr>
                <w:rFonts w:asciiTheme="minorHAnsi" w:eastAsiaTheme="minorEastAsia" w:hAnsiTheme="minorHAnsi" w:cstheme="minorBidi"/>
                <w:i/>
                <w:iCs/>
                <w:sz w:val="20"/>
                <w:szCs w:val="20"/>
              </w:rPr>
              <w:t xml:space="preserve">- </w:t>
            </w:r>
            <w:r w:rsidR="00A95A83" w:rsidRPr="00A95A83">
              <w:rPr>
                <w:rFonts w:asciiTheme="minorHAnsi" w:eastAsiaTheme="minorEastAsia" w:hAnsiTheme="minorHAnsi" w:cstheme="minorBidi"/>
                <w:i/>
                <w:iCs/>
                <w:sz w:val="20"/>
                <w:szCs w:val="20"/>
              </w:rPr>
              <w:t>6</w:t>
            </w:r>
            <w:r w:rsidRPr="00A95A83">
              <w:rPr>
                <w:rFonts w:asciiTheme="minorHAnsi" w:eastAsiaTheme="minorEastAsia" w:hAnsiTheme="minorHAnsi" w:cstheme="minorBidi"/>
                <w:i/>
                <w:iCs/>
                <w:sz w:val="20"/>
                <w:szCs w:val="20"/>
              </w:rPr>
              <w:t>,</w:t>
            </w:r>
            <w:r w:rsidR="00A95A83" w:rsidRPr="00A95A83">
              <w:rPr>
                <w:rFonts w:asciiTheme="minorHAnsi" w:eastAsiaTheme="minorEastAsia" w:hAnsiTheme="minorHAnsi" w:cstheme="minorBidi"/>
                <w:i/>
                <w:iCs/>
                <w:sz w:val="20"/>
                <w:szCs w:val="20"/>
              </w:rPr>
              <w:t>330</w:t>
            </w:r>
            <w:r w:rsidRPr="00A95A83">
              <w:rPr>
                <w:rFonts w:asciiTheme="minorHAnsi" w:eastAsiaTheme="minorEastAsia" w:hAnsiTheme="minorHAnsi" w:cstheme="minorBidi"/>
                <w:i/>
                <w:iCs/>
                <w:sz w:val="20"/>
                <w:szCs w:val="20"/>
              </w:rPr>
              <w:t xml:space="preserve"> beneficiarios hombres (</w:t>
            </w:r>
            <w:r w:rsidR="00A95A83" w:rsidRPr="00A95A83">
              <w:rPr>
                <w:rFonts w:asciiTheme="minorHAnsi" w:eastAsiaTheme="minorEastAsia" w:hAnsiTheme="minorHAnsi" w:cstheme="minorBidi"/>
                <w:i/>
                <w:iCs/>
                <w:sz w:val="20"/>
                <w:szCs w:val="20"/>
              </w:rPr>
              <w:t>56</w:t>
            </w:r>
            <w:r w:rsidRPr="00A95A83">
              <w:rPr>
                <w:rFonts w:asciiTheme="minorHAnsi" w:eastAsiaTheme="minorEastAsia" w:hAnsiTheme="minorHAnsi" w:cstheme="minorBidi"/>
                <w:i/>
                <w:iCs/>
                <w:sz w:val="20"/>
                <w:szCs w:val="20"/>
              </w:rPr>
              <w:t>%</w:t>
            </w:r>
            <w:r w:rsidR="0015543F" w:rsidRPr="00A95A83">
              <w:rPr>
                <w:rFonts w:asciiTheme="minorHAnsi" w:eastAsiaTheme="minorEastAsia" w:hAnsiTheme="minorHAnsi" w:cstheme="minorBidi"/>
                <w:i/>
                <w:iCs/>
                <w:sz w:val="20"/>
                <w:szCs w:val="20"/>
              </w:rPr>
              <w:t xml:space="preserve"> del avance logrado</w:t>
            </w:r>
            <w:r w:rsidRPr="00A95A83">
              <w:rPr>
                <w:rFonts w:asciiTheme="minorHAnsi" w:eastAsiaTheme="minorEastAsia" w:hAnsiTheme="minorHAnsi" w:cstheme="minorBidi"/>
                <w:i/>
                <w:iCs/>
                <w:sz w:val="20"/>
                <w:szCs w:val="20"/>
              </w:rPr>
              <w:t>) y 4,</w:t>
            </w:r>
            <w:r w:rsidR="00A95A83" w:rsidRPr="00A95A83">
              <w:rPr>
                <w:rFonts w:asciiTheme="minorHAnsi" w:eastAsiaTheme="minorEastAsia" w:hAnsiTheme="minorHAnsi" w:cstheme="minorBidi"/>
                <w:i/>
                <w:iCs/>
                <w:sz w:val="20"/>
                <w:szCs w:val="20"/>
              </w:rPr>
              <w:t>955</w:t>
            </w:r>
            <w:r w:rsidRPr="00A95A83">
              <w:rPr>
                <w:rFonts w:asciiTheme="minorHAnsi" w:eastAsiaTheme="minorEastAsia" w:hAnsiTheme="minorHAnsi" w:cstheme="minorBidi"/>
                <w:i/>
                <w:iCs/>
                <w:sz w:val="20"/>
                <w:szCs w:val="20"/>
              </w:rPr>
              <w:t xml:space="preserve"> beneficiarias mujeres (</w:t>
            </w:r>
            <w:r w:rsidR="00A95A83" w:rsidRPr="00A95A83">
              <w:rPr>
                <w:rFonts w:asciiTheme="minorHAnsi" w:eastAsiaTheme="minorEastAsia" w:hAnsiTheme="minorHAnsi" w:cstheme="minorBidi"/>
                <w:i/>
                <w:iCs/>
                <w:sz w:val="20"/>
                <w:szCs w:val="20"/>
              </w:rPr>
              <w:t>44</w:t>
            </w:r>
            <w:r w:rsidRPr="00A95A83">
              <w:rPr>
                <w:rFonts w:asciiTheme="minorHAnsi" w:eastAsiaTheme="minorEastAsia" w:hAnsiTheme="minorHAnsi" w:cstheme="minorBidi"/>
                <w:i/>
                <w:iCs/>
                <w:sz w:val="20"/>
                <w:szCs w:val="20"/>
              </w:rPr>
              <w:t>%</w:t>
            </w:r>
            <w:r w:rsidR="0015543F" w:rsidRPr="00A95A83">
              <w:rPr>
                <w:rFonts w:asciiTheme="minorHAnsi" w:eastAsiaTheme="minorEastAsia" w:hAnsiTheme="minorHAnsi" w:cstheme="minorBidi"/>
                <w:i/>
                <w:iCs/>
                <w:sz w:val="20"/>
                <w:szCs w:val="20"/>
              </w:rPr>
              <w:t xml:space="preserve"> del avance logrado</w:t>
            </w:r>
            <w:r w:rsidRPr="00A95A83">
              <w:rPr>
                <w:rFonts w:asciiTheme="minorHAnsi" w:eastAsiaTheme="minorEastAsia" w:hAnsiTheme="minorHAnsi" w:cstheme="minorBidi"/>
                <w:i/>
                <w:iCs/>
                <w:sz w:val="20"/>
                <w:szCs w:val="20"/>
              </w:rPr>
              <w:t>)</w:t>
            </w:r>
            <w:r w:rsidRPr="00DE692F">
              <w:rPr>
                <w:rFonts w:asciiTheme="minorHAnsi" w:eastAsiaTheme="minorEastAsia" w:hAnsiTheme="minorHAnsi" w:cstheme="minorBidi"/>
                <w:i/>
                <w:iCs/>
                <w:sz w:val="20"/>
                <w:szCs w:val="20"/>
              </w:rPr>
              <w:t xml:space="preserve"> logrados mediante el Programa de Liderazgo y Empoderamiento implementado en San Martín y Amazonas con participación de mujeres productoras de café y cacao de 12 organizaciones, y el fortalecimiento de mesas técnicas de café y cacao que incluyó diagnósticos participativos, elaboración de 3 planes de trabajo, talleres </w:t>
            </w:r>
            <w:r w:rsidRPr="00DE692F">
              <w:rPr>
                <w:rFonts w:asciiTheme="minorHAnsi" w:eastAsiaTheme="minorEastAsia" w:hAnsiTheme="minorHAnsi" w:cstheme="minorBidi"/>
                <w:i/>
                <w:iCs/>
                <w:sz w:val="20"/>
                <w:szCs w:val="20"/>
              </w:rPr>
              <w:lastRenderedPageBreak/>
              <w:t>especializados sobre género y mejora de la gobernanza de plataformas multiactor</w:t>
            </w:r>
            <w:r w:rsidR="0031352A">
              <w:rPr>
                <w:rFonts w:asciiTheme="minorHAnsi" w:eastAsiaTheme="minorEastAsia" w:hAnsiTheme="minorHAnsi" w:cstheme="minorBidi"/>
                <w:i/>
                <w:iCs/>
                <w:sz w:val="20"/>
                <w:szCs w:val="20"/>
              </w:rPr>
              <w:t>, así como el otorgamiento de CCUSAF, y del levantamiento de polígonos para articular sobre el sistema de trazabilidad</w:t>
            </w:r>
            <w:r w:rsidRPr="00DE692F">
              <w:rPr>
                <w:rFonts w:asciiTheme="minorHAnsi" w:eastAsiaTheme="minorEastAsia" w:hAnsiTheme="minorHAnsi" w:cstheme="minorBidi"/>
                <w:i/>
                <w:iCs/>
                <w:sz w:val="20"/>
                <w:szCs w:val="20"/>
              </w:rPr>
              <w:t xml:space="preserve">. Estos avances representan el </w:t>
            </w:r>
            <w:r w:rsidR="0031352A">
              <w:rPr>
                <w:rFonts w:asciiTheme="minorHAnsi" w:eastAsiaTheme="minorEastAsia" w:hAnsiTheme="minorHAnsi" w:cstheme="minorBidi"/>
                <w:i/>
                <w:iCs/>
                <w:sz w:val="20"/>
                <w:szCs w:val="20"/>
              </w:rPr>
              <w:t>11</w:t>
            </w:r>
            <w:r w:rsidRPr="00DE692F">
              <w:rPr>
                <w:rFonts w:asciiTheme="minorHAnsi" w:eastAsiaTheme="minorEastAsia" w:hAnsiTheme="minorHAnsi" w:cstheme="minorBidi"/>
                <w:i/>
                <w:iCs/>
                <w:sz w:val="20"/>
                <w:szCs w:val="20"/>
              </w:rPr>
              <w:t>% de la meta de 120,000 beneficiarios al final del proyecto.</w:t>
            </w:r>
          </w:p>
        </w:tc>
      </w:tr>
      <w:tr w:rsidR="00B871EC" w:rsidRPr="00DE692F" w14:paraId="5CA452E6" w14:textId="77777777" w:rsidTr="007C096A">
        <w:trPr>
          <w:trHeight w:val="288"/>
        </w:trPr>
        <w:tc>
          <w:tcPr>
            <w:tcW w:w="3006" w:type="dxa"/>
            <w:shd w:val="clear" w:color="auto" w:fill="F2F2F2" w:themeFill="background1" w:themeFillShade="F2"/>
            <w:vAlign w:val="center"/>
          </w:tcPr>
          <w:p w14:paraId="7379A3DB" w14:textId="29ED4ACE" w:rsidR="00B871EC" w:rsidRPr="00DE692F" w:rsidRDefault="00B871EC" w:rsidP="78958753">
            <w:pP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Indicador 3.2.1: Número de empresas, negocios u otras organizaciones, con énfasis en las dirigidas por mujeres, poblaciones indígenas, jóvenes y migrantes, que acceden a instrumentos para generar ingresos sostenibles y resilientes</w:t>
            </w:r>
          </w:p>
        </w:tc>
        <w:tc>
          <w:tcPr>
            <w:tcW w:w="6662" w:type="dxa"/>
            <w:vAlign w:val="center"/>
          </w:tcPr>
          <w:p w14:paraId="2156806E" w14:textId="77777777" w:rsidR="0046070A" w:rsidRDefault="007C096A"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Se fortaleció capacidades de 2 organizaciones indígenas (ORDEPIAA y ECA Chayunain) con capacitación técnica y administrativa para gestión de donaciones y elaboración de planes de vida</w:t>
            </w:r>
            <w:r w:rsidR="00375FA7" w:rsidRPr="00DE692F">
              <w:rPr>
                <w:rFonts w:asciiTheme="minorHAnsi" w:eastAsiaTheme="minorEastAsia" w:hAnsiTheme="minorHAnsi" w:cstheme="minorBidi"/>
                <w:i/>
                <w:iCs/>
                <w:sz w:val="20"/>
                <w:szCs w:val="20"/>
              </w:rPr>
              <w:t>, accediendo a instrumentos de sostenibilidad financiera</w:t>
            </w:r>
            <w:r w:rsidRPr="00DE692F">
              <w:rPr>
                <w:rFonts w:asciiTheme="minorHAnsi" w:eastAsiaTheme="minorEastAsia" w:hAnsiTheme="minorHAnsi" w:cstheme="minorBidi"/>
                <w:i/>
                <w:iCs/>
                <w:sz w:val="20"/>
                <w:szCs w:val="20"/>
              </w:rPr>
              <w:t xml:space="preserve">. </w:t>
            </w:r>
          </w:p>
          <w:p w14:paraId="1C90088A" w14:textId="61080A3E" w:rsidR="00B871EC" w:rsidRPr="00DE692F" w:rsidRDefault="007C096A"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 xml:space="preserve">Se elaboraron términos de referencia para cursos de capacitación en GIP/GIRN para funcionarios públicos, fortaleciendo capacidades institucionales </w:t>
            </w:r>
            <w:r w:rsidR="00375FA7" w:rsidRPr="00DE692F">
              <w:rPr>
                <w:rFonts w:asciiTheme="minorHAnsi" w:eastAsiaTheme="minorEastAsia" w:hAnsiTheme="minorHAnsi" w:cstheme="minorBidi"/>
                <w:i/>
                <w:iCs/>
                <w:sz w:val="20"/>
                <w:szCs w:val="20"/>
              </w:rPr>
              <w:t xml:space="preserve">que apoyan </w:t>
            </w:r>
            <w:r w:rsidRPr="00DE692F">
              <w:rPr>
                <w:rFonts w:asciiTheme="minorHAnsi" w:eastAsiaTheme="minorEastAsia" w:hAnsiTheme="minorHAnsi" w:cstheme="minorBidi"/>
                <w:i/>
                <w:iCs/>
                <w:sz w:val="20"/>
                <w:szCs w:val="20"/>
              </w:rPr>
              <w:t>a</w:t>
            </w:r>
            <w:r w:rsidR="00375FA7" w:rsidRPr="00DE692F">
              <w:rPr>
                <w:rFonts w:asciiTheme="minorHAnsi" w:eastAsiaTheme="minorEastAsia" w:hAnsiTheme="minorHAnsi" w:cstheme="minorBidi"/>
                <w:i/>
                <w:iCs/>
                <w:sz w:val="20"/>
                <w:szCs w:val="20"/>
              </w:rPr>
              <w:t xml:space="preserve"> </w:t>
            </w:r>
            <w:r w:rsidRPr="00DE692F">
              <w:rPr>
                <w:rFonts w:asciiTheme="minorHAnsi" w:eastAsiaTheme="minorEastAsia" w:hAnsiTheme="minorHAnsi" w:cstheme="minorBidi"/>
                <w:i/>
                <w:iCs/>
                <w:sz w:val="20"/>
                <w:szCs w:val="20"/>
              </w:rPr>
              <w:t>organizaciones productivas</w:t>
            </w:r>
            <w:r w:rsidR="00375FA7" w:rsidRPr="00DE692F">
              <w:rPr>
                <w:rFonts w:asciiTheme="minorHAnsi" w:eastAsiaTheme="minorEastAsia" w:hAnsiTheme="minorHAnsi" w:cstheme="minorBidi"/>
                <w:i/>
                <w:iCs/>
                <w:sz w:val="20"/>
                <w:szCs w:val="20"/>
              </w:rPr>
              <w:t xml:space="preserve"> en acceso a mercados y gestión empresarial</w:t>
            </w:r>
            <w:r w:rsidRPr="00DE692F">
              <w:rPr>
                <w:rFonts w:asciiTheme="minorHAnsi" w:eastAsiaTheme="minorEastAsia" w:hAnsiTheme="minorHAnsi" w:cstheme="minorBidi"/>
                <w:i/>
                <w:iCs/>
                <w:sz w:val="20"/>
                <w:szCs w:val="20"/>
              </w:rPr>
              <w:t>.</w:t>
            </w:r>
          </w:p>
        </w:tc>
      </w:tr>
      <w:tr w:rsidR="00B871EC" w:rsidRPr="00DE692F" w14:paraId="7D1312D2" w14:textId="77777777" w:rsidTr="009A2E34">
        <w:trPr>
          <w:trHeight w:val="8785"/>
        </w:trPr>
        <w:tc>
          <w:tcPr>
            <w:tcW w:w="3006" w:type="dxa"/>
            <w:shd w:val="clear" w:color="auto" w:fill="F2F2F2" w:themeFill="background1" w:themeFillShade="F2"/>
            <w:vAlign w:val="center"/>
          </w:tcPr>
          <w:p w14:paraId="136F64CB" w14:textId="5D49C6BB" w:rsidR="00B871EC" w:rsidRPr="00DE692F" w:rsidRDefault="00B871EC" w:rsidP="78958753">
            <w:pP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Indicador 3.2.2: Número de empresas, negocios u otras organizaciones que acceden a instrumentos para integrarse en mercados nuevos, sostenibles o más rentables, con énfasis en aquellos con potencial para acelerar la inclusión económica de las mujeres, las poblaciones indígenas, los jóvenes o los migrantes</w:t>
            </w:r>
          </w:p>
        </w:tc>
        <w:tc>
          <w:tcPr>
            <w:tcW w:w="6662" w:type="dxa"/>
            <w:vAlign w:val="center"/>
          </w:tcPr>
          <w:p w14:paraId="6D1DC62E" w14:textId="03F29FA7" w:rsidR="00940F2B" w:rsidRDefault="007C096A"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 xml:space="preserve">Se coordinó la participación de 5 organizaciones (CEPROAA, APROCAM, Choba Choba, Oro Verde, ACOPAGRO) en el XV Encuentro Nacional de Mujeres Cacaoteras. </w:t>
            </w:r>
            <w:r w:rsidR="00940F2B">
              <w:rPr>
                <w:rFonts w:asciiTheme="minorHAnsi" w:eastAsiaTheme="minorEastAsia" w:hAnsiTheme="minorHAnsi" w:cstheme="minorBidi"/>
                <w:i/>
                <w:iCs/>
                <w:sz w:val="20"/>
                <w:szCs w:val="20"/>
              </w:rPr>
              <w:t>Y s</w:t>
            </w:r>
            <w:r w:rsidR="00940F2B" w:rsidRPr="00DE692F">
              <w:rPr>
                <w:rFonts w:asciiTheme="minorHAnsi" w:eastAsiaTheme="minorEastAsia" w:hAnsiTheme="minorHAnsi" w:cstheme="minorBidi"/>
                <w:i/>
                <w:iCs/>
                <w:sz w:val="20"/>
                <w:szCs w:val="20"/>
              </w:rPr>
              <w:t>e viene implementando la actualización de estatutos con criterios inclusivos en 10 organizaciones de café y cacao en Amazonas, Cajamarca y San Martín</w:t>
            </w:r>
            <w:r w:rsidR="00940F2B">
              <w:rPr>
                <w:rFonts w:asciiTheme="minorHAnsi" w:eastAsiaTheme="minorEastAsia" w:hAnsiTheme="minorHAnsi" w:cstheme="minorBidi"/>
                <w:i/>
                <w:iCs/>
                <w:sz w:val="20"/>
                <w:szCs w:val="20"/>
              </w:rPr>
              <w:t>, que les facilitará la articulación comercial y acceso a nuevos mercados.</w:t>
            </w:r>
          </w:p>
          <w:p w14:paraId="472FD228" w14:textId="77777777" w:rsidR="00940F2B" w:rsidRDefault="007C096A" w:rsidP="00940F2B">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Se establecieron coordinaciones con MINCETUR y PROMPERÚ para implementación de Ruta Productiva Exportadora (RPE) facilitando acceso a instrumentos de promoción comercia</w:t>
            </w:r>
            <w:r w:rsidR="00940F2B">
              <w:rPr>
                <w:rFonts w:asciiTheme="minorHAnsi" w:eastAsiaTheme="minorEastAsia" w:hAnsiTheme="minorHAnsi" w:cstheme="minorBidi"/>
                <w:i/>
                <w:iCs/>
                <w:sz w:val="20"/>
                <w:szCs w:val="20"/>
              </w:rPr>
              <w:t>l. En ese marco, s</w:t>
            </w:r>
            <w:r w:rsidR="00940F2B" w:rsidRPr="00DE692F">
              <w:rPr>
                <w:rFonts w:asciiTheme="minorHAnsi" w:eastAsiaTheme="minorEastAsia" w:hAnsiTheme="minorHAnsi" w:cstheme="minorBidi"/>
                <w:i/>
                <w:iCs/>
                <w:sz w:val="20"/>
                <w:szCs w:val="20"/>
              </w:rPr>
              <w:t>e facilitó la participación de Aromas Finos en World of Coffee 2025 (Ginebra, Suiza) generando 2 beneficiarios directos y 283 indirectos (94 mujeres productoras).</w:t>
            </w:r>
          </w:p>
          <w:p w14:paraId="67385C20" w14:textId="51653CBD" w:rsidR="00940F2B" w:rsidRDefault="00940F2B" w:rsidP="00940F2B">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Asimismo, durante el 2025, s</w:t>
            </w:r>
            <w:r w:rsidRPr="00DE692F">
              <w:rPr>
                <w:rFonts w:asciiTheme="minorHAnsi" w:eastAsiaTheme="minorEastAsia" w:hAnsiTheme="minorHAnsi" w:cstheme="minorBidi"/>
                <w:i/>
                <w:iCs/>
                <w:sz w:val="20"/>
                <w:szCs w:val="20"/>
              </w:rPr>
              <w:t xml:space="preserve">e diseñó </w:t>
            </w:r>
            <w:r>
              <w:rPr>
                <w:rFonts w:asciiTheme="minorHAnsi" w:eastAsiaTheme="minorEastAsia" w:hAnsiTheme="minorHAnsi" w:cstheme="minorBidi"/>
                <w:i/>
                <w:iCs/>
                <w:sz w:val="20"/>
                <w:szCs w:val="20"/>
              </w:rPr>
              <w:t xml:space="preserve">e implementó </w:t>
            </w:r>
            <w:r w:rsidRPr="00DE692F">
              <w:rPr>
                <w:rFonts w:asciiTheme="minorHAnsi" w:eastAsiaTheme="minorEastAsia" w:hAnsiTheme="minorHAnsi" w:cstheme="minorBidi"/>
                <w:i/>
                <w:iCs/>
                <w:sz w:val="20"/>
                <w:szCs w:val="20"/>
              </w:rPr>
              <w:t>el curso de "</w:t>
            </w:r>
            <w:r w:rsidR="00FE38D2">
              <w:rPr>
                <w:rFonts w:asciiTheme="minorHAnsi" w:eastAsiaTheme="minorEastAsia" w:hAnsiTheme="minorHAnsi" w:cstheme="minorBidi"/>
                <w:i/>
                <w:iCs/>
                <w:sz w:val="20"/>
                <w:szCs w:val="20"/>
              </w:rPr>
              <w:t>Fortalecimiento de capacidades comerciales</w:t>
            </w:r>
            <w:r w:rsidRPr="00DE692F">
              <w:rPr>
                <w:rFonts w:asciiTheme="minorHAnsi" w:eastAsiaTheme="minorEastAsia" w:hAnsiTheme="minorHAnsi" w:cstheme="minorBidi"/>
                <w:i/>
                <w:iCs/>
                <w:sz w:val="20"/>
                <w:szCs w:val="20"/>
              </w:rPr>
              <w:t xml:space="preserve">" </w:t>
            </w:r>
            <w:r w:rsidR="00FE38D2">
              <w:rPr>
                <w:rFonts w:asciiTheme="minorHAnsi" w:eastAsiaTheme="minorEastAsia" w:hAnsiTheme="minorHAnsi" w:cstheme="minorBidi"/>
                <w:i/>
                <w:iCs/>
                <w:sz w:val="20"/>
                <w:szCs w:val="20"/>
              </w:rPr>
              <w:t xml:space="preserve">y se facilitó la participación </w:t>
            </w:r>
            <w:r w:rsidRPr="00DE692F">
              <w:rPr>
                <w:rFonts w:asciiTheme="minorHAnsi" w:eastAsiaTheme="minorEastAsia" w:hAnsiTheme="minorHAnsi" w:cstheme="minorBidi"/>
                <w:i/>
                <w:iCs/>
                <w:sz w:val="20"/>
                <w:szCs w:val="20"/>
              </w:rPr>
              <w:t xml:space="preserve">para </w:t>
            </w:r>
            <w:r>
              <w:rPr>
                <w:rFonts w:asciiTheme="minorHAnsi" w:eastAsiaTheme="minorEastAsia" w:hAnsiTheme="minorHAnsi" w:cstheme="minorBidi"/>
                <w:i/>
                <w:iCs/>
                <w:sz w:val="20"/>
                <w:szCs w:val="20"/>
              </w:rPr>
              <w:t>10</w:t>
            </w:r>
            <w:r w:rsidRPr="00DE692F">
              <w:rPr>
                <w:rFonts w:asciiTheme="minorHAnsi" w:eastAsiaTheme="minorEastAsia" w:hAnsiTheme="minorHAnsi" w:cstheme="minorBidi"/>
                <w:i/>
                <w:iCs/>
                <w:sz w:val="20"/>
                <w:szCs w:val="20"/>
              </w:rPr>
              <w:t xml:space="preserve"> organizaciones (</w:t>
            </w:r>
            <w:r w:rsidR="00FE38D2">
              <w:rPr>
                <w:rFonts w:asciiTheme="minorHAnsi" w:eastAsiaTheme="minorEastAsia" w:hAnsiTheme="minorHAnsi" w:cstheme="minorBidi"/>
                <w:i/>
                <w:iCs/>
                <w:sz w:val="20"/>
                <w:szCs w:val="20"/>
              </w:rPr>
              <w:t>7</w:t>
            </w:r>
            <w:r w:rsidRPr="00DE692F">
              <w:rPr>
                <w:rFonts w:asciiTheme="minorHAnsi" w:eastAsiaTheme="minorEastAsia" w:hAnsiTheme="minorHAnsi" w:cstheme="minorBidi"/>
                <w:i/>
                <w:iCs/>
                <w:sz w:val="20"/>
                <w:szCs w:val="20"/>
              </w:rPr>
              <w:t xml:space="preserve"> productores y </w:t>
            </w:r>
            <w:r w:rsidR="00FE38D2">
              <w:rPr>
                <w:rFonts w:asciiTheme="minorHAnsi" w:eastAsiaTheme="minorEastAsia" w:hAnsiTheme="minorHAnsi" w:cstheme="minorBidi"/>
                <w:i/>
                <w:iCs/>
                <w:sz w:val="20"/>
                <w:szCs w:val="20"/>
              </w:rPr>
              <w:t>11</w:t>
            </w:r>
            <w:r w:rsidRPr="00DE692F">
              <w:rPr>
                <w:rFonts w:asciiTheme="minorHAnsi" w:eastAsiaTheme="minorEastAsia" w:hAnsiTheme="minorHAnsi" w:cstheme="minorBidi"/>
                <w:i/>
                <w:iCs/>
                <w:sz w:val="20"/>
                <w:szCs w:val="20"/>
              </w:rPr>
              <w:t xml:space="preserve"> productoras) </w:t>
            </w:r>
            <w:r w:rsidR="00FE38D2">
              <w:rPr>
                <w:rFonts w:asciiTheme="minorHAnsi" w:eastAsiaTheme="minorEastAsia" w:hAnsiTheme="minorHAnsi" w:cstheme="minorBidi"/>
                <w:i/>
                <w:iCs/>
                <w:sz w:val="20"/>
                <w:szCs w:val="20"/>
              </w:rPr>
              <w:t>tanto para la feria y como las ruedas de negocio en</w:t>
            </w:r>
            <w:r w:rsidRPr="00DE692F">
              <w:rPr>
                <w:rFonts w:asciiTheme="minorHAnsi" w:eastAsiaTheme="minorEastAsia" w:hAnsiTheme="minorHAnsi" w:cstheme="minorBidi"/>
                <w:i/>
                <w:iCs/>
                <w:sz w:val="20"/>
                <w:szCs w:val="20"/>
              </w:rPr>
              <w:t xml:space="preserve"> el XVI Salón del Cacao y Chocolate 2025</w:t>
            </w:r>
            <w:r w:rsidR="00FE38D2">
              <w:rPr>
                <w:rFonts w:asciiTheme="minorHAnsi" w:eastAsiaTheme="minorEastAsia" w:hAnsiTheme="minorHAnsi" w:cstheme="minorBidi"/>
                <w:i/>
                <w:iCs/>
                <w:sz w:val="20"/>
                <w:szCs w:val="20"/>
              </w:rPr>
              <w:t xml:space="preserve">, estas organizaciones representan a 1,800 socios de los cuales, se estima alrededor de 540 mujeres. Como resultado, se obtuvo una intención de compra de $ 1, 170,000, así como más de S/.24 mil soles en el stand del MINAM. </w:t>
            </w:r>
          </w:p>
          <w:p w14:paraId="53DC0587" w14:textId="079F04EA" w:rsidR="001458E1" w:rsidRDefault="00FE38D2" w:rsidP="00FE38D2">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Del mismo modo, se fortalecieron las capacidades</w:t>
            </w:r>
            <w:r w:rsidR="001458E1" w:rsidRPr="001458E1">
              <w:rPr>
                <w:rFonts w:asciiTheme="minorHAnsi" w:eastAsiaTheme="minorEastAsia" w:hAnsiTheme="minorHAnsi" w:cstheme="minorBidi"/>
                <w:i/>
                <w:iCs/>
                <w:sz w:val="20"/>
                <w:szCs w:val="20"/>
              </w:rPr>
              <w:t xml:space="preserve"> de las organizaciones de productores de café y cacao sostenibles del área de intervención del Proyecto FOLUR, para que participen de manera estratégica, competitiva y efectiva en las ruedas de negocios nacional y en la internacional de la ExpoAmazónica y la FICAFÉ 2025.</w:t>
            </w:r>
          </w:p>
          <w:p w14:paraId="627C16AF" w14:textId="0C6D3307" w:rsidR="001458E1" w:rsidRDefault="0039742A" w:rsidP="78958753">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 xml:space="preserve">En el caso de la ExpoAmazónica, se acompañó a tres organizaciones </w:t>
            </w:r>
            <w:r w:rsidRPr="0039742A">
              <w:rPr>
                <w:rFonts w:asciiTheme="minorHAnsi" w:eastAsiaTheme="minorEastAsia" w:hAnsiTheme="minorHAnsi" w:cstheme="minorBidi"/>
                <w:i/>
                <w:iCs/>
                <w:sz w:val="20"/>
                <w:szCs w:val="20"/>
              </w:rPr>
              <w:t>Allima Cacao, ASPROC-NBT y APROCEB–Cerro</w:t>
            </w:r>
            <w:r>
              <w:rPr>
                <w:rFonts w:asciiTheme="minorHAnsi" w:eastAsiaTheme="minorEastAsia" w:hAnsiTheme="minorHAnsi" w:cstheme="minorBidi"/>
                <w:i/>
                <w:iCs/>
                <w:sz w:val="20"/>
                <w:szCs w:val="20"/>
              </w:rPr>
              <w:t>, a través de sus representantes que participaron en las ruedas de negocio</w:t>
            </w:r>
            <w:r w:rsidR="00D40C9F">
              <w:rPr>
                <w:rFonts w:asciiTheme="minorHAnsi" w:eastAsiaTheme="minorEastAsia" w:hAnsiTheme="minorHAnsi" w:cstheme="minorBidi"/>
                <w:i/>
                <w:iCs/>
                <w:sz w:val="20"/>
                <w:szCs w:val="20"/>
              </w:rPr>
              <w:t xml:space="preserve"> internacionales y nacionales</w:t>
            </w:r>
            <w:r>
              <w:rPr>
                <w:rFonts w:asciiTheme="minorHAnsi" w:eastAsiaTheme="minorEastAsia" w:hAnsiTheme="minorHAnsi" w:cstheme="minorBidi"/>
                <w:i/>
                <w:iCs/>
                <w:sz w:val="20"/>
                <w:szCs w:val="20"/>
              </w:rPr>
              <w:t xml:space="preserve"> (en total 8 participantes, 2 de ellos mujeres). Así mismo, estas organizaciones representan un total de </w:t>
            </w:r>
            <w:r w:rsidR="00D40C9F">
              <w:rPr>
                <w:rFonts w:asciiTheme="minorHAnsi" w:eastAsiaTheme="minorEastAsia" w:hAnsiTheme="minorHAnsi" w:cstheme="minorBidi"/>
                <w:i/>
                <w:iCs/>
                <w:sz w:val="20"/>
                <w:szCs w:val="20"/>
              </w:rPr>
              <w:t xml:space="preserve">487 </w:t>
            </w:r>
            <w:r>
              <w:rPr>
                <w:rFonts w:asciiTheme="minorHAnsi" w:eastAsiaTheme="minorEastAsia" w:hAnsiTheme="minorHAnsi" w:cstheme="minorBidi"/>
                <w:i/>
                <w:iCs/>
                <w:sz w:val="20"/>
                <w:szCs w:val="20"/>
              </w:rPr>
              <w:t xml:space="preserve">productores, siendo </w:t>
            </w:r>
            <w:r w:rsidR="00D40C9F">
              <w:rPr>
                <w:rFonts w:asciiTheme="minorHAnsi" w:eastAsiaTheme="minorEastAsia" w:hAnsiTheme="minorHAnsi" w:cstheme="minorBidi"/>
                <w:i/>
                <w:iCs/>
                <w:sz w:val="20"/>
                <w:szCs w:val="20"/>
              </w:rPr>
              <w:t>175</w:t>
            </w:r>
            <w:r>
              <w:rPr>
                <w:rFonts w:asciiTheme="minorHAnsi" w:eastAsiaTheme="minorEastAsia" w:hAnsiTheme="minorHAnsi" w:cstheme="minorBidi"/>
                <w:i/>
                <w:iCs/>
                <w:sz w:val="20"/>
                <w:szCs w:val="20"/>
              </w:rPr>
              <w:t xml:space="preserve"> mujeres. Producto de este </w:t>
            </w:r>
            <w:r w:rsidR="00D40C9F">
              <w:rPr>
                <w:rFonts w:asciiTheme="minorHAnsi" w:eastAsiaTheme="minorEastAsia" w:hAnsiTheme="minorHAnsi" w:cstheme="minorBidi"/>
                <w:i/>
                <w:iCs/>
                <w:sz w:val="20"/>
                <w:szCs w:val="20"/>
              </w:rPr>
              <w:t>acompañamiento</w:t>
            </w:r>
            <w:r>
              <w:rPr>
                <w:rFonts w:asciiTheme="minorHAnsi" w:eastAsiaTheme="minorEastAsia" w:hAnsiTheme="minorHAnsi" w:cstheme="minorBidi"/>
                <w:i/>
                <w:iCs/>
                <w:sz w:val="20"/>
                <w:szCs w:val="20"/>
              </w:rPr>
              <w:t xml:space="preserve">, las organizaciones </w:t>
            </w:r>
            <w:r w:rsidR="00D40C9F">
              <w:rPr>
                <w:rFonts w:asciiTheme="minorHAnsi" w:eastAsiaTheme="minorEastAsia" w:hAnsiTheme="minorHAnsi" w:cstheme="minorBidi"/>
                <w:i/>
                <w:iCs/>
                <w:sz w:val="20"/>
                <w:szCs w:val="20"/>
              </w:rPr>
              <w:t xml:space="preserve">lograron una intención total de compra de </w:t>
            </w:r>
            <w:r w:rsidR="00D40C9F" w:rsidRPr="00D40C9F">
              <w:rPr>
                <w:rFonts w:asciiTheme="minorHAnsi" w:eastAsiaTheme="minorEastAsia" w:hAnsiTheme="minorHAnsi" w:cstheme="minorBidi"/>
                <w:i/>
                <w:iCs/>
                <w:sz w:val="20"/>
                <w:szCs w:val="20"/>
              </w:rPr>
              <w:t>S/ 1,072,400</w:t>
            </w:r>
            <w:r w:rsidR="00D40C9F">
              <w:rPr>
                <w:rFonts w:asciiTheme="minorHAnsi" w:eastAsiaTheme="minorEastAsia" w:hAnsiTheme="minorHAnsi" w:cstheme="minorBidi"/>
                <w:i/>
                <w:iCs/>
                <w:sz w:val="20"/>
                <w:szCs w:val="20"/>
              </w:rPr>
              <w:t>.</w:t>
            </w:r>
          </w:p>
          <w:p w14:paraId="337A7CD0" w14:textId="3295624A" w:rsidR="00B871EC" w:rsidRPr="00DE692F" w:rsidRDefault="00D40C9F" w:rsidP="78958753">
            <w:pPr>
              <w:rPr>
                <w:rFonts w:asciiTheme="minorHAnsi" w:eastAsiaTheme="minorEastAsia" w:hAnsiTheme="minorHAnsi" w:cstheme="minorBidi"/>
                <w:i/>
                <w:iCs/>
                <w:sz w:val="20"/>
                <w:szCs w:val="20"/>
              </w:rPr>
            </w:pPr>
            <w:r>
              <w:rPr>
                <w:rFonts w:asciiTheme="minorHAnsi" w:eastAsiaTheme="minorEastAsia" w:hAnsiTheme="minorHAnsi" w:cstheme="minorBidi"/>
                <w:i/>
                <w:iCs/>
                <w:sz w:val="20"/>
                <w:szCs w:val="20"/>
              </w:rPr>
              <w:t>En relación a</w:t>
            </w:r>
            <w:r w:rsidR="001F058D" w:rsidRPr="00DE692F">
              <w:rPr>
                <w:rFonts w:asciiTheme="minorHAnsi" w:eastAsiaTheme="minorEastAsia" w:hAnsiTheme="minorHAnsi" w:cstheme="minorBidi"/>
                <w:i/>
                <w:iCs/>
                <w:sz w:val="20"/>
                <w:szCs w:val="20"/>
              </w:rPr>
              <w:t xml:space="preserve"> la Feria Internacional de Cafés Especiales - FICAFE (noviembre, Amazonas), evento que incluyó </w:t>
            </w:r>
            <w:r w:rsidR="00FE38D2">
              <w:rPr>
                <w:rFonts w:asciiTheme="minorHAnsi" w:eastAsiaTheme="minorEastAsia" w:hAnsiTheme="minorHAnsi" w:cstheme="minorBidi"/>
                <w:i/>
                <w:iCs/>
                <w:sz w:val="20"/>
                <w:szCs w:val="20"/>
              </w:rPr>
              <w:t xml:space="preserve">la participación en el stand del MINAM, y en </w:t>
            </w:r>
            <w:r w:rsidR="001F058D" w:rsidRPr="00DE692F">
              <w:rPr>
                <w:rFonts w:asciiTheme="minorHAnsi" w:eastAsiaTheme="minorEastAsia" w:hAnsiTheme="minorHAnsi" w:cstheme="minorBidi"/>
                <w:i/>
                <w:iCs/>
                <w:sz w:val="20"/>
                <w:szCs w:val="20"/>
              </w:rPr>
              <w:t>ruedas de negocios nacionales</w:t>
            </w:r>
            <w:r w:rsidR="00FE38D2">
              <w:rPr>
                <w:rFonts w:asciiTheme="minorHAnsi" w:eastAsiaTheme="minorEastAsia" w:hAnsiTheme="minorHAnsi" w:cstheme="minorBidi"/>
                <w:i/>
                <w:iCs/>
                <w:sz w:val="20"/>
                <w:szCs w:val="20"/>
              </w:rPr>
              <w:t xml:space="preserve"> e internacionales</w:t>
            </w:r>
            <w:r w:rsidR="001F058D" w:rsidRPr="00DE692F">
              <w:rPr>
                <w:rFonts w:asciiTheme="minorHAnsi" w:eastAsiaTheme="minorEastAsia" w:hAnsiTheme="minorHAnsi" w:cstheme="minorBidi"/>
                <w:i/>
                <w:iCs/>
                <w:sz w:val="20"/>
                <w:szCs w:val="20"/>
              </w:rPr>
              <w:t xml:space="preserve"> para facilitar la articulación comercial de organizaciones productoras con compradores interesados en café </w:t>
            </w:r>
            <w:r>
              <w:rPr>
                <w:rFonts w:asciiTheme="minorHAnsi" w:eastAsiaTheme="minorEastAsia" w:hAnsiTheme="minorHAnsi" w:cstheme="minorBidi"/>
                <w:i/>
                <w:iCs/>
                <w:sz w:val="20"/>
                <w:szCs w:val="20"/>
              </w:rPr>
              <w:t xml:space="preserve">sostenible, se obtuvo una intención de compra de </w:t>
            </w:r>
            <w:r w:rsidRPr="00D40C9F">
              <w:rPr>
                <w:rFonts w:asciiTheme="minorHAnsi" w:eastAsiaTheme="minorEastAsia" w:hAnsiTheme="minorHAnsi" w:cstheme="minorBidi"/>
                <w:i/>
                <w:iCs/>
                <w:sz w:val="20"/>
                <w:szCs w:val="20"/>
              </w:rPr>
              <w:t>S/ 20,858,000</w:t>
            </w:r>
            <w:r>
              <w:rPr>
                <w:rFonts w:asciiTheme="minorHAnsi" w:eastAsiaTheme="minorEastAsia" w:hAnsiTheme="minorHAnsi" w:cstheme="minorBidi"/>
                <w:i/>
                <w:iCs/>
                <w:sz w:val="20"/>
                <w:szCs w:val="20"/>
              </w:rPr>
              <w:t xml:space="preserve">, participaron </w:t>
            </w:r>
            <w:r w:rsidR="009A07C5">
              <w:rPr>
                <w:rFonts w:asciiTheme="minorHAnsi" w:eastAsiaTheme="minorEastAsia" w:hAnsiTheme="minorHAnsi" w:cstheme="minorBidi"/>
                <w:i/>
                <w:iCs/>
                <w:sz w:val="20"/>
                <w:szCs w:val="20"/>
              </w:rPr>
              <w:t>12</w:t>
            </w:r>
            <w:r>
              <w:rPr>
                <w:rFonts w:asciiTheme="minorHAnsi" w:eastAsiaTheme="minorEastAsia" w:hAnsiTheme="minorHAnsi" w:cstheme="minorBidi"/>
                <w:i/>
                <w:iCs/>
                <w:sz w:val="20"/>
                <w:szCs w:val="20"/>
              </w:rPr>
              <w:t xml:space="preserve"> organizaciones de pro</w:t>
            </w:r>
            <w:r w:rsidR="009A07C5">
              <w:rPr>
                <w:rFonts w:asciiTheme="minorHAnsi" w:eastAsiaTheme="minorEastAsia" w:hAnsiTheme="minorHAnsi" w:cstheme="minorBidi"/>
                <w:i/>
                <w:iCs/>
                <w:sz w:val="20"/>
                <w:szCs w:val="20"/>
              </w:rPr>
              <w:t>ductores, destacando APROCEB, CAFCER, APECAM, CAPISAM, Coffee Land Peru, APROCASSI), de las cuales se estima un 30% de mujeres socias.</w:t>
            </w:r>
          </w:p>
        </w:tc>
      </w:tr>
      <w:tr w:rsidR="00B871EC" w:rsidRPr="00DE692F" w14:paraId="06AFFCCA" w14:textId="77777777" w:rsidTr="007C096A">
        <w:trPr>
          <w:trHeight w:val="288"/>
        </w:trPr>
        <w:tc>
          <w:tcPr>
            <w:tcW w:w="3006" w:type="dxa"/>
            <w:shd w:val="clear" w:color="auto" w:fill="F2F2F2" w:themeFill="background1" w:themeFillShade="F2"/>
            <w:vAlign w:val="center"/>
          </w:tcPr>
          <w:p w14:paraId="17B6DE56" w14:textId="33443655" w:rsidR="00B871EC" w:rsidRPr="00DE692F" w:rsidRDefault="00B871EC" w:rsidP="78958753">
            <w:pP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Indicador 3.2.3 Millones de dólares de financiación integrada procedente de fuentes públicas y privadas que se movilizan para reforzar cadenas de valor sostenibles.</w:t>
            </w:r>
          </w:p>
        </w:tc>
        <w:tc>
          <w:tcPr>
            <w:tcW w:w="6662" w:type="dxa"/>
            <w:vAlign w:val="center"/>
          </w:tcPr>
          <w:p w14:paraId="5D7C5AB0" w14:textId="2C8E0928" w:rsidR="00B871EC" w:rsidRPr="00DE692F" w:rsidRDefault="007C096A" w:rsidP="78958753">
            <w:pPr>
              <w:rPr>
                <w:rFonts w:asciiTheme="minorHAnsi" w:eastAsiaTheme="minorEastAsia" w:hAnsiTheme="minorHAnsi" w:cstheme="minorBidi"/>
                <w:i/>
                <w:iCs/>
                <w:sz w:val="20"/>
                <w:szCs w:val="20"/>
              </w:rPr>
            </w:pPr>
            <w:r w:rsidRPr="00DE692F">
              <w:rPr>
                <w:rFonts w:asciiTheme="minorHAnsi" w:eastAsiaTheme="minorEastAsia" w:hAnsiTheme="minorHAnsi" w:cstheme="minorBidi"/>
                <w:i/>
                <w:iCs/>
                <w:sz w:val="20"/>
                <w:szCs w:val="20"/>
              </w:rPr>
              <w:t>Todavía no se registran avances en este indicador.</w:t>
            </w:r>
          </w:p>
        </w:tc>
      </w:tr>
    </w:tbl>
    <w:p w14:paraId="2FE11689" w14:textId="77777777" w:rsidR="00E11C21" w:rsidRPr="00DE692F" w:rsidRDefault="00E11C21" w:rsidP="00E11C21">
      <w:pPr>
        <w:pStyle w:val="Prrafodelista"/>
        <w:ind w:left="1080"/>
        <w:rPr>
          <w:rFonts w:asciiTheme="minorHAnsi" w:hAnsiTheme="minorHAnsi" w:cstheme="minorHAnsi"/>
          <w:b/>
          <w:bCs/>
          <w:sz w:val="20"/>
          <w:szCs w:val="20"/>
        </w:rPr>
      </w:pPr>
    </w:p>
    <w:p w14:paraId="350E1432" w14:textId="3B165B49" w:rsidR="31BDC04C" w:rsidRPr="00DE692F" w:rsidRDefault="00E11C21" w:rsidP="00C2643E">
      <w:pPr>
        <w:pStyle w:val="Prrafodelista"/>
        <w:numPr>
          <w:ilvl w:val="0"/>
          <w:numId w:val="21"/>
        </w:numPr>
        <w:rPr>
          <w:rFonts w:asciiTheme="minorHAnsi" w:hAnsiTheme="minorHAnsi" w:cstheme="minorHAnsi"/>
          <w:b/>
          <w:bCs/>
          <w:sz w:val="20"/>
          <w:szCs w:val="20"/>
        </w:rPr>
      </w:pPr>
      <w:r w:rsidRPr="00DE692F">
        <w:rPr>
          <w:rFonts w:asciiTheme="minorHAnsi" w:eastAsiaTheme="minorEastAsia" w:hAnsiTheme="minorHAnsi" w:cstheme="minorBidi"/>
          <w:b/>
          <w:bCs/>
          <w:sz w:val="20"/>
          <w:szCs w:val="20"/>
        </w:rPr>
        <w:lastRenderedPageBreak/>
        <w:t>CONTRIBUCIÓN</w:t>
      </w:r>
      <w:r w:rsidR="007E4326" w:rsidRPr="00DE692F">
        <w:rPr>
          <w:rFonts w:asciiTheme="minorHAnsi" w:eastAsiaTheme="minorEastAsia" w:hAnsiTheme="minorHAnsi" w:cstheme="minorBidi"/>
          <w:b/>
          <w:bCs/>
          <w:sz w:val="20"/>
          <w:szCs w:val="20"/>
        </w:rPr>
        <w:t xml:space="preserve"> A LA IGUALDAD DE GÉNERO Y EL EMPODERAMIENTO A LAS MUJERES</w:t>
      </w:r>
      <w:r w:rsidR="31BDC04C" w:rsidRPr="00DE692F">
        <w:rPr>
          <w:rFonts w:asciiTheme="minorHAnsi" w:eastAsiaTheme="minorEastAsia" w:hAnsiTheme="minorHAnsi" w:cstheme="minorBidi"/>
          <w:b/>
          <w:bCs/>
          <w:sz w:val="16"/>
          <w:szCs w:val="16"/>
        </w:rPr>
        <w:footnoteReference w:id="36"/>
      </w:r>
    </w:p>
    <w:p w14:paraId="225E696C" w14:textId="53AF3BB6" w:rsidR="00DB57CB" w:rsidRPr="00DE692F" w:rsidRDefault="00E11C21" w:rsidP="00DB57CB">
      <w:pPr>
        <w:ind w:left="360"/>
        <w:rPr>
          <w:rFonts w:asciiTheme="minorHAnsi" w:eastAsiaTheme="minorEastAsia" w:hAnsiTheme="minorHAnsi" w:cstheme="minorBidi"/>
          <w:sz w:val="20"/>
          <w:szCs w:val="20"/>
        </w:rPr>
      </w:pPr>
      <w:r w:rsidRPr="00DE692F">
        <w:rPr>
          <w:rFonts w:asciiTheme="minorHAnsi" w:eastAsiaTheme="minorEastAsia" w:hAnsiTheme="minorHAnsi" w:cstheme="minorBidi"/>
          <w:sz w:val="20"/>
          <w:szCs w:val="20"/>
        </w:rPr>
        <w:t>Fundamentar de qué manera el proyecto ha venido contribuyendo a</w:t>
      </w:r>
      <w:r w:rsidR="007E4326" w:rsidRPr="00DE692F">
        <w:rPr>
          <w:rFonts w:asciiTheme="minorHAnsi" w:eastAsiaTheme="minorEastAsia" w:hAnsiTheme="minorHAnsi" w:cstheme="minorBidi"/>
          <w:sz w:val="20"/>
          <w:szCs w:val="20"/>
        </w:rPr>
        <w:t xml:space="preserve"> la igualdad de género y el empoderamiento de las mujeres. Tomar en cuenta su plan de género, indicadores desagregados por sexo, etc. Analizar qué obstáculos se presentaron o qué acciones no funcionaron y por qué</w:t>
      </w:r>
      <w:r w:rsidR="00CE79D8" w:rsidRPr="00DE692F">
        <w:rPr>
          <w:rFonts w:asciiTheme="minorHAnsi" w:eastAsiaTheme="minorEastAsia" w:hAnsiTheme="minorHAnsi" w:cstheme="minorBidi"/>
          <w:sz w:val="20"/>
          <w:szCs w:val="20"/>
        </w:rPr>
        <w:t xml:space="preserve">. </w:t>
      </w:r>
      <w:r w:rsidR="00CE79D8" w:rsidRPr="00DE692F">
        <w:rPr>
          <w:rFonts w:asciiTheme="minorHAnsi" w:eastAsiaTheme="minorEastAsia" w:hAnsiTheme="minorHAnsi" w:cstheme="minorBidi"/>
          <w:color w:val="EE0000"/>
          <w:sz w:val="20"/>
          <w:szCs w:val="20"/>
        </w:rPr>
        <w:t>(Máximo 4,000 caracteres para esta sección)</w:t>
      </w:r>
    </w:p>
    <w:p w14:paraId="3EAEDFA3" w14:textId="77777777" w:rsidR="00CE79D8" w:rsidRPr="00DE692F" w:rsidRDefault="00CE79D8" w:rsidP="007E4326">
      <w:pPr>
        <w:ind w:left="360"/>
        <w:rPr>
          <w:rFonts w:asciiTheme="minorHAnsi" w:eastAsiaTheme="minorEastAsia" w:hAnsiTheme="minorHAnsi" w:cstheme="minorBidi"/>
          <w:sz w:val="20"/>
          <w:szCs w:val="20"/>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8354"/>
      </w:tblGrid>
      <w:tr w:rsidR="00CE79D8" w:rsidRPr="00DE692F" w14:paraId="1AE74A74" w14:textId="77777777" w:rsidTr="00AE3C90">
        <w:trPr>
          <w:trHeight w:val="163"/>
        </w:trPr>
        <w:tc>
          <w:tcPr>
            <w:tcW w:w="435" w:type="dxa"/>
            <w:tcBorders>
              <w:bottom w:val="single" w:sz="4" w:space="0" w:color="auto"/>
            </w:tcBorders>
            <w:shd w:val="clear" w:color="auto" w:fill="C0C0C0"/>
          </w:tcPr>
          <w:p w14:paraId="078C1A71" w14:textId="77777777" w:rsidR="00CE79D8" w:rsidRPr="00DE692F" w:rsidRDefault="00CE79D8" w:rsidP="00AE3C90">
            <w:pPr>
              <w:jc w:val="cente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N</w:t>
            </w:r>
          </w:p>
        </w:tc>
        <w:tc>
          <w:tcPr>
            <w:tcW w:w="8354" w:type="dxa"/>
            <w:shd w:val="clear" w:color="auto" w:fill="C0C0C0"/>
          </w:tcPr>
          <w:p w14:paraId="24DF059E" w14:textId="77777777" w:rsidR="00CE79D8" w:rsidRPr="00DE692F" w:rsidRDefault="00CE79D8" w:rsidP="00AE3C90">
            <w:pPr>
              <w:jc w:val="cente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Descripción</w:t>
            </w:r>
          </w:p>
        </w:tc>
      </w:tr>
      <w:tr w:rsidR="00265AA1" w:rsidRPr="00DE692F" w14:paraId="510EF77B" w14:textId="77777777" w:rsidTr="00AE3C90">
        <w:trPr>
          <w:trHeight w:val="496"/>
        </w:trPr>
        <w:tc>
          <w:tcPr>
            <w:tcW w:w="435" w:type="dxa"/>
            <w:shd w:val="clear" w:color="auto" w:fill="FFFFFF" w:themeFill="background1"/>
          </w:tcPr>
          <w:p w14:paraId="362005A1" w14:textId="77777777" w:rsidR="00265AA1" w:rsidRPr="00DE692F" w:rsidRDefault="00265AA1" w:rsidP="00265AA1">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1</w:t>
            </w:r>
          </w:p>
        </w:tc>
        <w:tc>
          <w:tcPr>
            <w:tcW w:w="8354" w:type="dxa"/>
          </w:tcPr>
          <w:p w14:paraId="48932DEB" w14:textId="68DCB79C" w:rsidR="006C4937" w:rsidRPr="00DE692F" w:rsidRDefault="006C4937" w:rsidP="006C4937">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El proyecto FOLUR ha venido contribuyendo significativamente a la igualdad de género mediante intervenciones estratégicas en cuatro dimensiones clave</w:t>
            </w:r>
            <w:r w:rsidR="001458E1">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b/>
                <w:bCs/>
                <w:sz w:val="20"/>
                <w:szCs w:val="20"/>
              </w:rPr>
              <w:t xml:space="preserve">i) El empoderamiento económico de las mujeres </w:t>
            </w:r>
            <w:r w:rsidRPr="00DE692F">
              <w:rPr>
                <w:rFonts w:asciiTheme="minorHAnsi" w:eastAsiaTheme="minorEastAsia" w:hAnsiTheme="minorHAnsi" w:cstheme="minorHAnsi"/>
                <w:sz w:val="20"/>
                <w:szCs w:val="20"/>
              </w:rPr>
              <w:t>productoras a través del fortalecimiento de sus capacidades en temas productivos (Manejo de buenas prácticas agrícolas de café y cacao con la finalidad de incrementar la productividad de sus cultivos</w:t>
            </w:r>
            <w:r w:rsidR="0012559A" w:rsidRPr="00DE692F">
              <w:rPr>
                <w:rFonts w:asciiTheme="minorHAnsi" w:eastAsiaTheme="minorEastAsia" w:hAnsiTheme="minorHAnsi" w:cstheme="minorHAnsi"/>
                <w:sz w:val="20"/>
                <w:szCs w:val="20"/>
              </w:rPr>
              <w:t>)</w:t>
            </w:r>
            <w:r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b/>
                <w:bCs/>
                <w:sz w:val="20"/>
                <w:szCs w:val="20"/>
              </w:rPr>
              <w:t>ii) Liderazgo y participación de las mujeres en los espacios de toma de</w:t>
            </w:r>
            <w:r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b/>
                <w:bCs/>
                <w:sz w:val="20"/>
                <w:szCs w:val="20"/>
              </w:rPr>
              <w:t>decisiones</w:t>
            </w:r>
            <w:r w:rsidRPr="00DE692F">
              <w:rPr>
                <w:rFonts w:asciiTheme="minorHAnsi" w:eastAsiaTheme="minorEastAsia" w:hAnsiTheme="minorHAnsi" w:cstheme="minorHAnsi"/>
                <w:sz w:val="20"/>
                <w:szCs w:val="20"/>
              </w:rPr>
              <w:t xml:space="preserve"> para la gestión productiva y de gestión de sus territorios a través de su participación en diversos espacios participativos como fueron los Encuentros Regionales de mujeres cacaoteras en la regiones de San Martín y el Encuentro Regional de Mujeres cafetaleras de Cajamarca, teniendo como resultado la elaboración de pronunciamientos colectivos construidos de manera participativa, mediante las cuales las mujeres productoras expresan sus demandas, compromisos y propuestas estratégicas para el fortalecimiento de su empoderamiento económico, el ejercicio de sus derechos, la igualdad de oportunidades y la sostenibilidad de las cadenas de valor del café y del cacao libres de deforestación. Además, estos espacios recogieron insumos para la implementación de la Política de Género de la Asociación peruana de productores de cacao (APPCACAO). </w:t>
            </w:r>
            <w:r w:rsidR="0012559A" w:rsidRPr="00DE692F">
              <w:rPr>
                <w:rFonts w:asciiTheme="minorHAnsi" w:eastAsiaTheme="minorEastAsia" w:hAnsiTheme="minorHAnsi" w:cstheme="minorHAnsi"/>
                <w:b/>
                <w:bCs/>
                <w:sz w:val="20"/>
                <w:szCs w:val="20"/>
              </w:rPr>
              <w:t>iii</w:t>
            </w:r>
            <w:r w:rsidRPr="00DE692F">
              <w:rPr>
                <w:rFonts w:asciiTheme="minorHAnsi" w:eastAsiaTheme="minorEastAsia" w:hAnsiTheme="minorHAnsi" w:cstheme="minorHAnsi"/>
                <w:b/>
                <w:bCs/>
                <w:sz w:val="20"/>
                <w:szCs w:val="20"/>
              </w:rPr>
              <w:t>)</w:t>
            </w:r>
            <w:r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b/>
                <w:bCs/>
                <w:sz w:val="20"/>
                <w:szCs w:val="20"/>
              </w:rPr>
              <w:t xml:space="preserve">Transformación de normas sociales y relaciones de género, </w:t>
            </w:r>
            <w:r w:rsidRPr="00DE692F">
              <w:rPr>
                <w:rFonts w:asciiTheme="minorHAnsi" w:eastAsiaTheme="minorEastAsia" w:hAnsiTheme="minorHAnsi" w:cstheme="minorHAnsi"/>
                <w:sz w:val="20"/>
                <w:szCs w:val="20"/>
              </w:rPr>
              <w:t>a través del abordaje de brechas de género</w:t>
            </w:r>
            <w:r w:rsidRPr="00DE692F">
              <w:rPr>
                <w:rFonts w:asciiTheme="minorHAnsi" w:eastAsiaTheme="minorEastAsia" w:hAnsiTheme="minorHAnsi" w:cstheme="minorHAnsi"/>
                <w:b/>
                <w:bCs/>
                <w:sz w:val="20"/>
                <w:szCs w:val="20"/>
              </w:rPr>
              <w:t xml:space="preserve"> </w:t>
            </w:r>
            <w:r w:rsidRPr="00DE692F">
              <w:rPr>
                <w:rFonts w:asciiTheme="minorHAnsi" w:eastAsiaTheme="minorEastAsia" w:hAnsiTheme="minorHAnsi" w:cstheme="minorHAnsi"/>
                <w:sz w:val="20"/>
                <w:szCs w:val="20"/>
              </w:rPr>
              <w:t xml:space="preserve">estructurales mediante la implementación del Programa de Liderazgo y Empoderamiento para lideresas productoras de café y cacao,  fortaleciendo capacidades  </w:t>
            </w:r>
            <w:r w:rsidRPr="00DE692F">
              <w:rPr>
                <w:rFonts w:asciiTheme="minorHAnsi" w:eastAsiaTheme="minorEastAsia" w:hAnsiTheme="minorHAnsi" w:cstheme="minorHAnsi"/>
                <w:sz w:val="20"/>
                <w:szCs w:val="20"/>
              </w:rPr>
              <w:t>de más de 100 mujeres productoras de café y cacao provenientes de 33 organizaciones representativas del ecosistema productivo amazónico incrementando la participación de las mujeres en los ámbitos productivos, organizacionales, comunitarios y familiares</w:t>
            </w:r>
            <w:r w:rsidR="00130904">
              <w:rPr>
                <w:rFonts w:asciiTheme="minorHAnsi" w:eastAsiaTheme="minorEastAsia" w:hAnsiTheme="minorHAnsi" w:cstheme="minorHAnsi"/>
                <w:sz w:val="20"/>
                <w:szCs w:val="20"/>
              </w:rPr>
              <w:t xml:space="preserve">. </w:t>
            </w:r>
            <w:r w:rsidR="00130904" w:rsidRPr="00DE692F">
              <w:rPr>
                <w:rFonts w:asciiTheme="minorHAnsi" w:eastAsiaTheme="minorEastAsia" w:hAnsiTheme="minorHAnsi" w:cstheme="minorHAnsi"/>
                <w:sz w:val="20"/>
                <w:szCs w:val="20"/>
              </w:rPr>
              <w:t>El proyecto también ha impulsado cambios estructurales dentro de las organizaciones de productores mediante el acompañamiento a las mismas para el fortalecimiento de sus documentos normativos - estatutos de 10 organizaciones productoras (APRYSA, Alta Montaña, CEPROAA, ACOPAGRO, YAKATHEO, CAFCER, COOPBAM, APAHUI, COOCAS, LIMA COFFEE,  KAWSAY del Marañón) para la incorporación de criterios de género, interculturalidad, intergeneracionalidad, sostenibilidad ambiental así como tolerancia cero frente al trabajo infantil</w:t>
            </w:r>
            <w:r w:rsidR="00597193">
              <w:rPr>
                <w:rFonts w:asciiTheme="minorHAnsi" w:eastAsiaTheme="minorEastAsia" w:hAnsiTheme="minorHAnsi" w:cstheme="minorHAnsi"/>
                <w:sz w:val="20"/>
                <w:szCs w:val="20"/>
              </w:rPr>
              <w:t>;</w:t>
            </w:r>
            <w:r w:rsidR="00130904">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b/>
                <w:bCs/>
                <w:sz w:val="20"/>
                <w:szCs w:val="20"/>
              </w:rPr>
              <w:t>iv) Articulación interinstitucional:</w:t>
            </w:r>
            <w:r w:rsidRPr="00DE692F">
              <w:rPr>
                <w:rFonts w:asciiTheme="minorHAnsi" w:eastAsiaTheme="minorEastAsia" w:hAnsiTheme="minorHAnsi" w:cstheme="minorHAnsi"/>
                <w:sz w:val="20"/>
                <w:szCs w:val="20"/>
              </w:rPr>
              <w:t xml:space="preserve"> El adecuado desarrollo e impacto del Programa de Liderazgo y Empoderamiento de Lideresas productoras de café y cacao del Proyecto FOLUR ha sido posible gracias a una sólida articulación interinstitucional con actores públicos, privados y de la sociedad civil, que ha permitido integrar de manera complementaria los enfoques de </w:t>
            </w:r>
            <w:r w:rsidRPr="00DE692F">
              <w:rPr>
                <w:rFonts w:asciiTheme="minorHAnsi" w:eastAsiaTheme="minorEastAsia" w:hAnsiTheme="minorHAnsi" w:cstheme="minorHAnsi"/>
                <w:sz w:val="20"/>
                <w:szCs w:val="20"/>
              </w:rPr>
              <w:t>género, derechos, salud, sostenibilidad ambiental y fortalecimiento organizacional en los territorios de intervención; en este marco, la coordinación con el Ministerio de la Mujer y Poblaciones Vulnerables (MIMP) ha fortalecido las capacidades de las lideresas en derechos y prevención de la violencia basada en género, mientras que la articulación con DEVIDA ha contribuido a consolidar medios de vida lícitos y sostenibles; de igual forma, el trabajo conjunto con APPCACAO, las Mesas Técnicas y Plataformas de café y cacao ha impulsado la asociatividad, la gobernanza y la participación activa de las mujeres en espacios de toma de decisión del sector, complementándose con la coordinación con el Ministerio de Salud (MINSA) para promover la salud integral y el bienestar de las lideresas, y con Campo Limpio para fomentar prácticas agrícolas responsables y seguras, configurando así una gobernanza colaborativa que ha sido clave para el éxito del programa y para el posicionamiento del liderazgo transformador de las mujeres en cadenas de café y cacao inclusivas, sostenibles y libres de deforestación.</w:t>
            </w:r>
          </w:p>
          <w:p w14:paraId="5155644A" w14:textId="77777777" w:rsidR="006C4937" w:rsidRPr="00DE692F" w:rsidRDefault="006C4937" w:rsidP="006C4937">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Resultados logrados:</w:t>
            </w:r>
          </w:p>
          <w:p w14:paraId="53F55581" w14:textId="3C577AB6" w:rsidR="006C4937" w:rsidRPr="00DE692F" w:rsidRDefault="006C4937" w:rsidP="006C4937">
            <w:pPr>
              <w:pStyle w:val="Prrafodelista"/>
              <w:numPr>
                <w:ilvl w:val="0"/>
                <w:numId w:val="26"/>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Dos (02) declaratorias como resultado del Encuentro de Mujeres cafetaleras de Cajamarca y Mujeres Cacaoteras de organizaciones agremiadas a APPCACAO</w:t>
            </w:r>
            <w:r w:rsidR="0012559A"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sz w:val="20"/>
                <w:szCs w:val="20"/>
              </w:rPr>
              <w:t xml:space="preserve">Estas declaratorias constituyen instrumentos de incidencia y articulación territorial que recogen las voces, prioridades y visiones de las mujeres, orientando acciones de política pública, gobernanza </w:t>
            </w:r>
            <w:r w:rsidRPr="00DE692F">
              <w:rPr>
                <w:rFonts w:asciiTheme="minorHAnsi" w:eastAsiaTheme="minorEastAsia" w:hAnsiTheme="minorHAnsi" w:cstheme="minorHAnsi"/>
                <w:sz w:val="20"/>
                <w:szCs w:val="20"/>
              </w:rPr>
              <w:lastRenderedPageBreak/>
              <w:t>local e institucional, y promoviendo transformaciones en las relaciones de género, el acceso equitativo a recursos y la gestión sostenible del territorio.</w:t>
            </w:r>
          </w:p>
          <w:p w14:paraId="05DE21EA" w14:textId="25222517" w:rsidR="006C4937" w:rsidRPr="00DE692F" w:rsidRDefault="0012559A" w:rsidP="006C4937">
            <w:pPr>
              <w:pStyle w:val="Prrafodelista"/>
              <w:numPr>
                <w:ilvl w:val="0"/>
                <w:numId w:val="26"/>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T</w:t>
            </w:r>
            <w:r w:rsidR="006C4937" w:rsidRPr="00DE692F">
              <w:rPr>
                <w:rFonts w:asciiTheme="minorHAnsi" w:eastAsiaTheme="minorEastAsia" w:hAnsiTheme="minorHAnsi" w:cstheme="minorHAnsi"/>
                <w:sz w:val="20"/>
                <w:szCs w:val="20"/>
              </w:rPr>
              <w:t>ransversalización del enfoque de género en la Hoja de Ruta de Cacao</w:t>
            </w:r>
            <w:r w:rsidR="00640EDB">
              <w:rPr>
                <w:rFonts w:asciiTheme="minorHAnsi" w:eastAsiaTheme="minorEastAsia" w:hAnsiTheme="minorHAnsi" w:cstheme="minorHAnsi"/>
                <w:sz w:val="20"/>
                <w:szCs w:val="20"/>
              </w:rPr>
              <w:t xml:space="preserve"> Sostenible de San Martín</w:t>
            </w:r>
            <w:r w:rsidR="006C4937" w:rsidRPr="00DE692F">
              <w:rPr>
                <w:rFonts w:asciiTheme="minorHAnsi" w:eastAsiaTheme="minorEastAsia" w:hAnsiTheme="minorHAnsi" w:cstheme="minorHAnsi"/>
                <w:sz w:val="20"/>
                <w:szCs w:val="20"/>
              </w:rPr>
              <w:t>.</w:t>
            </w:r>
          </w:p>
          <w:p w14:paraId="35C7BEA3" w14:textId="29F59C61" w:rsidR="006C4937" w:rsidRPr="00DE692F" w:rsidRDefault="006C4937" w:rsidP="006C4937">
            <w:pPr>
              <w:pStyle w:val="Prrafodelista"/>
              <w:numPr>
                <w:ilvl w:val="0"/>
                <w:numId w:val="26"/>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Colaboración con la Asociación Peruana de Agricultores Cacaoteros de APPCACAO para la elaboración d</w:t>
            </w:r>
            <w:r w:rsidR="00640EDB">
              <w:rPr>
                <w:rFonts w:asciiTheme="minorHAnsi" w:eastAsiaTheme="minorEastAsia" w:hAnsiTheme="minorHAnsi" w:cstheme="minorHAnsi"/>
                <w:sz w:val="20"/>
                <w:szCs w:val="20"/>
              </w:rPr>
              <w:t>e</w:t>
            </w:r>
            <w:r w:rsidRPr="00DE692F">
              <w:rPr>
                <w:rFonts w:asciiTheme="minorHAnsi" w:eastAsiaTheme="minorEastAsia" w:hAnsiTheme="minorHAnsi" w:cstheme="minorHAnsi"/>
                <w:sz w:val="20"/>
                <w:szCs w:val="20"/>
              </w:rPr>
              <w:t xml:space="preserve"> su Política de Género.</w:t>
            </w:r>
          </w:p>
          <w:p w14:paraId="23CA21E1" w14:textId="77777777" w:rsidR="00640EDB" w:rsidRDefault="006C4937" w:rsidP="006C4937">
            <w:pPr>
              <w:pStyle w:val="Prrafodelista"/>
              <w:numPr>
                <w:ilvl w:val="0"/>
                <w:numId w:val="26"/>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Fortalecimiento de los Comités de Mujeres (CODEMUS) promoviendo la representatividad responsable de las mujeres dentro de las organizaciones de productores/as, como resultado del posicionamiento de mujeres productoras en espacios de liderazgo y toma de </w:t>
            </w:r>
            <w:r w:rsidRPr="00DE692F">
              <w:rPr>
                <w:rFonts w:asciiTheme="minorHAnsi" w:eastAsiaTheme="minorEastAsia" w:hAnsiTheme="minorHAnsi" w:cstheme="minorHAnsi"/>
                <w:sz w:val="20"/>
                <w:szCs w:val="20"/>
              </w:rPr>
              <w:t xml:space="preserve">decisiones (Cargos de incidencia: Presidencias, por </w:t>
            </w:r>
            <w:r w:rsidR="00443AA7" w:rsidRPr="00DE692F">
              <w:rPr>
                <w:rFonts w:asciiTheme="minorHAnsi" w:eastAsiaTheme="minorEastAsia" w:hAnsiTheme="minorHAnsi" w:cstheme="minorHAnsi"/>
                <w:sz w:val="20"/>
                <w:szCs w:val="20"/>
              </w:rPr>
              <w:t>ejemplo,</w:t>
            </w:r>
            <w:r w:rsidRPr="00DE692F">
              <w:rPr>
                <w:rFonts w:asciiTheme="minorHAnsi" w:eastAsiaTheme="minorEastAsia" w:hAnsiTheme="minorHAnsi" w:cstheme="minorHAnsi"/>
                <w:sz w:val="20"/>
                <w:szCs w:val="20"/>
              </w:rPr>
              <w:t xml:space="preserve"> Presidencia de APPCACAO)</w:t>
            </w:r>
            <w:r w:rsidR="00640EDB">
              <w:rPr>
                <w:rFonts w:asciiTheme="minorHAnsi" w:eastAsiaTheme="minorEastAsia" w:hAnsiTheme="minorHAnsi" w:cstheme="minorHAnsi"/>
                <w:sz w:val="20"/>
                <w:szCs w:val="20"/>
              </w:rPr>
              <w:t>.</w:t>
            </w:r>
          </w:p>
          <w:p w14:paraId="6F996EF4" w14:textId="77777777" w:rsidR="00265AA1" w:rsidRDefault="006C4937" w:rsidP="006C4937">
            <w:pPr>
              <w:pStyle w:val="Prrafodelista"/>
              <w:numPr>
                <w:ilvl w:val="0"/>
                <w:numId w:val="26"/>
              </w:numPr>
              <w:rPr>
                <w:rFonts w:asciiTheme="minorHAnsi" w:eastAsiaTheme="minorEastAsia" w:hAnsiTheme="minorHAnsi" w:cstheme="minorHAnsi"/>
                <w:sz w:val="20"/>
                <w:szCs w:val="20"/>
              </w:rPr>
            </w:pPr>
            <w:r w:rsidRPr="00640EDB">
              <w:rPr>
                <w:rFonts w:asciiTheme="minorHAnsi" w:eastAsiaTheme="minorEastAsia" w:hAnsiTheme="minorHAnsi" w:cstheme="minorHAnsi"/>
                <w:sz w:val="20"/>
                <w:szCs w:val="20"/>
              </w:rPr>
              <w:t>M</w:t>
            </w:r>
            <w:r w:rsidR="0012559A" w:rsidRPr="00640EDB">
              <w:rPr>
                <w:rFonts w:asciiTheme="minorHAnsi" w:eastAsiaTheme="minorEastAsia" w:hAnsiTheme="minorHAnsi" w:cstheme="minorHAnsi"/>
                <w:sz w:val="20"/>
                <w:szCs w:val="20"/>
              </w:rPr>
              <w:t>á</w:t>
            </w:r>
            <w:r w:rsidRPr="00640EDB">
              <w:rPr>
                <w:rFonts w:asciiTheme="minorHAnsi" w:eastAsiaTheme="minorEastAsia" w:hAnsiTheme="minorHAnsi" w:cstheme="minorHAnsi"/>
                <w:sz w:val="20"/>
                <w:szCs w:val="20"/>
              </w:rPr>
              <w:t xml:space="preserve">s de 100 </w:t>
            </w:r>
            <w:r w:rsidR="00443AA7" w:rsidRPr="00640EDB">
              <w:rPr>
                <w:rFonts w:asciiTheme="minorHAnsi" w:eastAsiaTheme="minorEastAsia" w:hAnsiTheme="minorHAnsi" w:cstheme="minorHAnsi"/>
                <w:sz w:val="20"/>
                <w:szCs w:val="20"/>
              </w:rPr>
              <w:t xml:space="preserve">mujeres </w:t>
            </w:r>
            <w:r w:rsidRPr="00640EDB">
              <w:rPr>
                <w:rFonts w:asciiTheme="minorHAnsi" w:eastAsiaTheme="minorEastAsia" w:hAnsiTheme="minorHAnsi" w:cstheme="minorHAnsi"/>
                <w:sz w:val="20"/>
                <w:szCs w:val="20"/>
              </w:rPr>
              <w:t>fortalecieron su liderazgo y su participación activa en espacios de gobernanza, asociaciones y procesos de toma de decisiones vinculados a las cadenas de valor de café y cacao libres de deforestación; la transformación de normas sociales y relaciones de género, promoviendo la corresponsabilidad, la redistribución del trabajo de cuidados y la prevención de la violencia basada en género en los ámbitos familiar, comunitario y productivo; y el fortalecimiento del entorno institucional, a través de la articulación con entidades públicas y privadas para transversalizar el enfoque de género en políticas, planes, instrumentos y modelos de intervención, contribuyendo a la sostenibilidad y escalabilidad de los resultados del proyecto.</w:t>
            </w:r>
          </w:p>
          <w:p w14:paraId="0584C1E4" w14:textId="1429141C" w:rsidR="00A002E3" w:rsidRPr="00640EDB" w:rsidRDefault="00A002E3" w:rsidP="006C4937">
            <w:pPr>
              <w:pStyle w:val="Prrafodelista"/>
              <w:numPr>
                <w:ilvl w:val="0"/>
                <w:numId w:val="26"/>
              </w:numPr>
              <w:rPr>
                <w:rFonts w:asciiTheme="minorHAnsi" w:eastAsiaTheme="minorEastAsia" w:hAnsiTheme="minorHAnsi" w:cstheme="minorHAnsi"/>
                <w:sz w:val="20"/>
                <w:szCs w:val="20"/>
              </w:rPr>
            </w:pPr>
            <w:r>
              <w:rPr>
                <w:rFonts w:asciiTheme="minorHAnsi" w:eastAsiaTheme="minorEastAsia" w:hAnsiTheme="minorHAnsi" w:cstheme="minorHAnsi"/>
                <w:sz w:val="20"/>
                <w:szCs w:val="20"/>
              </w:rPr>
              <w:t>Incorporación del enfoque de género en 10 estatutos de organizaciones aliadas en la implementación del proyecto</w:t>
            </w:r>
            <w:r w:rsidR="00D61877">
              <w:rPr>
                <w:rFonts w:asciiTheme="minorHAnsi" w:eastAsiaTheme="minorEastAsia" w:hAnsiTheme="minorHAnsi" w:cstheme="minorHAnsi"/>
                <w:sz w:val="20"/>
                <w:szCs w:val="20"/>
              </w:rPr>
              <w:t>, al 2025 una organización modificó su estatuto reforzando el enfoque de género, el servicio continuará durante el 2026</w:t>
            </w:r>
            <w:r>
              <w:rPr>
                <w:rFonts w:asciiTheme="minorHAnsi" w:eastAsiaTheme="minorEastAsia" w:hAnsiTheme="minorHAnsi" w:cstheme="minorHAnsi"/>
                <w:sz w:val="20"/>
                <w:szCs w:val="20"/>
              </w:rPr>
              <w:t>.</w:t>
            </w:r>
          </w:p>
        </w:tc>
      </w:tr>
      <w:tr w:rsidR="00265AA1" w:rsidRPr="00DE692F" w14:paraId="40E319C8" w14:textId="77777777" w:rsidTr="00AE3C90">
        <w:trPr>
          <w:trHeight w:val="496"/>
        </w:trPr>
        <w:tc>
          <w:tcPr>
            <w:tcW w:w="435" w:type="dxa"/>
            <w:shd w:val="clear" w:color="auto" w:fill="FFFFFF" w:themeFill="background1"/>
          </w:tcPr>
          <w:p w14:paraId="4639179A" w14:textId="77777777" w:rsidR="00265AA1" w:rsidRPr="00DE692F" w:rsidRDefault="00265AA1" w:rsidP="00265AA1">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2</w:t>
            </w:r>
          </w:p>
        </w:tc>
        <w:tc>
          <w:tcPr>
            <w:tcW w:w="8354" w:type="dxa"/>
          </w:tcPr>
          <w:p w14:paraId="509EB5C8" w14:textId="1C38E17A" w:rsidR="006C4937" w:rsidRPr="00DE692F" w:rsidRDefault="006C4937" w:rsidP="006C4937">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El proyecto también ha impulsado cambios estructurales dentro de las organizaciones de productores mediante el acompañamiento a las mismas para el fortalecimiento de sus documentos normativos - estatutos de 10 organizaciones productoras (APRYSA, Alta Montaña, CEPROAA, ACOPAGRO, YAKATHEO, CAFCER, COOPBAM, APAHUI, COOCAS, LIMA COFFEE,  KAWSAY del Marañón) para la incorporación de criterios de género, interculturalidad,</w:t>
            </w:r>
            <w:r w:rsidR="00443AA7"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sz w:val="20"/>
                <w:szCs w:val="20"/>
              </w:rPr>
              <w:t>intergeneracionalidad,</w:t>
            </w:r>
            <w:r w:rsidR="00443AA7"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sz w:val="20"/>
                <w:szCs w:val="20"/>
              </w:rPr>
              <w:t xml:space="preserve">sostenibilidad ambiental así como tolerancia cero frente al trabajo infantil. </w:t>
            </w:r>
          </w:p>
          <w:p w14:paraId="73B0A254" w14:textId="0D1B0359" w:rsidR="006C4937" w:rsidRPr="00DE692F" w:rsidRDefault="006C4937" w:rsidP="006C4937">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Asimismo, se facilitó la participación de 24 lideresas productoras de café y cacao en el evento regional sobre la Regulación Europea de Productos Libres de Deforestación (EUDR) realizado en la región Amazonas</w:t>
            </w:r>
            <w:r w:rsidR="00165DA2">
              <w:rPr>
                <w:rFonts w:asciiTheme="minorHAnsi" w:eastAsiaTheme="minorEastAsia" w:hAnsiTheme="minorHAnsi" w:cstheme="minorHAnsi"/>
                <w:sz w:val="20"/>
                <w:szCs w:val="20"/>
              </w:rPr>
              <w:t>. Participar de este evento</w:t>
            </w:r>
            <w:r w:rsidRPr="00DE692F">
              <w:rPr>
                <w:rFonts w:asciiTheme="minorHAnsi" w:eastAsiaTheme="minorEastAsia" w:hAnsiTheme="minorHAnsi" w:cstheme="minorHAnsi"/>
                <w:sz w:val="20"/>
                <w:szCs w:val="20"/>
              </w:rPr>
              <w:t>, contribuyó al fortalecimiento de sus capacidades técnicas, informativas y de liderazgo al brindarles acceso directo a información actualizada sobre los alcances, exigencias y desafíos de esta nueva normativa para las organizaciones productivas</w:t>
            </w:r>
            <w:r w:rsidR="001458E1">
              <w:rPr>
                <w:rFonts w:asciiTheme="minorHAnsi" w:eastAsiaTheme="minorEastAsia" w:hAnsiTheme="minorHAnsi" w:cstheme="minorHAnsi"/>
                <w:sz w:val="20"/>
                <w:szCs w:val="20"/>
              </w:rPr>
              <w:t>. D</w:t>
            </w:r>
            <w:r w:rsidRPr="00DE692F">
              <w:rPr>
                <w:rFonts w:asciiTheme="minorHAnsi" w:eastAsiaTheme="minorEastAsia" w:hAnsiTheme="minorHAnsi" w:cstheme="minorHAnsi"/>
                <w:sz w:val="20"/>
                <w:szCs w:val="20"/>
              </w:rPr>
              <w:t>e manera complementaria, previ</w:t>
            </w:r>
            <w:r w:rsidR="001458E1">
              <w:rPr>
                <w:rFonts w:asciiTheme="minorHAnsi" w:eastAsiaTheme="minorEastAsia" w:hAnsiTheme="minorHAnsi" w:cstheme="minorHAnsi"/>
                <w:sz w:val="20"/>
                <w:szCs w:val="20"/>
              </w:rPr>
              <w:t>o a este evento,</w:t>
            </w:r>
            <w:r w:rsidRPr="00DE692F">
              <w:rPr>
                <w:rFonts w:asciiTheme="minorHAnsi" w:eastAsiaTheme="minorEastAsia" w:hAnsiTheme="minorHAnsi" w:cstheme="minorHAnsi"/>
                <w:sz w:val="20"/>
                <w:szCs w:val="20"/>
              </w:rPr>
              <w:t xml:space="preserve"> se desarrollaron reuniones de inducción que permitieron a las lideresas comprender los principales requisitos de la EUDR y su impacto en las cadenas de valor, así como espacios de diálogo con las gerencias de sus cooperativas y asociaciones para conocer el nivel de avance institucional, las brechas y las acciones en curso para el cumplimiento de la normativa, fortaleciendo sus capacidades de análisis crítico, participación informada y toma de decisiones, y posicionándolas como actoras clave en los procesos de adaptación organizacional y transición hacia cadenas de café y cacao sostenibles, competitivas y libres de deforestación.</w:t>
            </w:r>
          </w:p>
          <w:p w14:paraId="77829873" w14:textId="30BCF1F9" w:rsidR="003A7DFF" w:rsidRDefault="006C4937" w:rsidP="008F1A7B">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En el ámbito de acceso a mercados,, si bien solo dos mujeres productoras de Aromas Finos participaron de manera directa en el World of Coffee 2025 realizado en Ginebra, su asistencia generó un impacto indirecto en 94 mujeres de su organización al actuar como representantes y voceras colectivas, quienes, a su retorno, replicaron los conocimientos adquiridos sobre tendencias de mercado, estándares de calidad, trazabilidad, sostenibilidad y exigencias de compradores internacionales, fortaleciendo las capacidades colectivas de las productoras para mejorar su inserción en mercados diferenciados y reforzando el liderazgo y la participación de las mujeres en las decisiones comerciales. </w:t>
            </w:r>
            <w:r w:rsidR="00640EDB">
              <w:rPr>
                <w:rFonts w:asciiTheme="minorHAnsi" w:eastAsiaTheme="minorEastAsia" w:hAnsiTheme="minorHAnsi" w:cstheme="minorHAnsi"/>
                <w:sz w:val="20"/>
                <w:szCs w:val="20"/>
              </w:rPr>
              <w:t>A</w:t>
            </w:r>
            <w:r w:rsidRPr="00DE692F">
              <w:rPr>
                <w:rFonts w:asciiTheme="minorHAnsi" w:eastAsiaTheme="minorEastAsia" w:hAnsiTheme="minorHAnsi" w:cstheme="minorHAnsi"/>
                <w:sz w:val="20"/>
                <w:szCs w:val="20"/>
              </w:rPr>
              <w:t xml:space="preserve">demás se diseñó e </w:t>
            </w:r>
            <w:r w:rsidR="00F10960" w:rsidRPr="00DE692F">
              <w:rPr>
                <w:rFonts w:asciiTheme="minorHAnsi" w:eastAsiaTheme="minorEastAsia" w:hAnsiTheme="minorHAnsi" w:cstheme="minorHAnsi"/>
                <w:sz w:val="20"/>
                <w:szCs w:val="20"/>
              </w:rPr>
              <w:t>implementó el</w:t>
            </w:r>
            <w:r w:rsidRPr="00DE692F">
              <w:rPr>
                <w:rFonts w:asciiTheme="minorHAnsi" w:eastAsiaTheme="minorEastAsia" w:hAnsiTheme="minorHAnsi" w:cstheme="minorHAnsi"/>
                <w:sz w:val="20"/>
                <w:szCs w:val="20"/>
              </w:rPr>
              <w:t xml:space="preserve">  curso  </w:t>
            </w:r>
            <w:r w:rsidRPr="00DE692F">
              <w:rPr>
                <w:rFonts w:asciiTheme="minorHAnsi" w:eastAsiaTheme="minorEastAsia" w:hAnsiTheme="minorHAnsi" w:cstheme="minorHAnsi"/>
                <w:b/>
                <w:bCs/>
                <w:sz w:val="20"/>
                <w:szCs w:val="20"/>
              </w:rPr>
              <w:t>"Participación efectiva en ferias comerciales"</w:t>
            </w:r>
            <w:r w:rsidRPr="00DE692F">
              <w:rPr>
                <w:rFonts w:asciiTheme="minorHAnsi" w:eastAsiaTheme="minorEastAsia" w:hAnsiTheme="minorHAnsi" w:cstheme="minorHAnsi"/>
                <w:sz w:val="20"/>
                <w:szCs w:val="20"/>
              </w:rPr>
              <w:t xml:space="preserve"> </w:t>
            </w:r>
          </w:p>
          <w:p w14:paraId="74866DAD" w14:textId="599CEDED" w:rsidR="003A7DFF" w:rsidRPr="003A7DFF" w:rsidRDefault="003A7DFF" w:rsidP="003A7DFF">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Además, d</w:t>
            </w:r>
            <w:r w:rsidRPr="003A7DFF">
              <w:rPr>
                <w:rFonts w:asciiTheme="minorHAnsi" w:eastAsiaTheme="minorEastAsia" w:hAnsiTheme="minorHAnsi" w:cstheme="minorHAnsi"/>
                <w:sz w:val="20"/>
                <w:szCs w:val="20"/>
              </w:rPr>
              <w:t xml:space="preserve">urante el 2025, se promovió la participación activa de mujeres y hombres productores en diversas actividades comerciales del sector cacao y café, </w:t>
            </w:r>
            <w:r w:rsidR="001D4113">
              <w:rPr>
                <w:rFonts w:asciiTheme="minorHAnsi" w:eastAsiaTheme="minorEastAsia" w:hAnsiTheme="minorHAnsi" w:cstheme="minorHAnsi"/>
                <w:sz w:val="20"/>
                <w:szCs w:val="20"/>
              </w:rPr>
              <w:t>estableciendo como criterio de selección, que las organizaciones de productores beneficiarias p</w:t>
            </w:r>
            <w:r w:rsidR="001D4113" w:rsidRPr="001D4113">
              <w:rPr>
                <w:rFonts w:asciiTheme="minorHAnsi" w:eastAsiaTheme="minorEastAsia" w:hAnsiTheme="minorHAnsi" w:cstheme="minorHAnsi"/>
                <w:sz w:val="20"/>
                <w:szCs w:val="20"/>
              </w:rPr>
              <w:t>rom</w:t>
            </w:r>
            <w:r w:rsidR="001D4113">
              <w:rPr>
                <w:rFonts w:asciiTheme="minorHAnsi" w:eastAsiaTheme="minorEastAsia" w:hAnsiTheme="minorHAnsi" w:cstheme="minorHAnsi"/>
                <w:sz w:val="20"/>
                <w:szCs w:val="20"/>
              </w:rPr>
              <w:t>uevan</w:t>
            </w:r>
            <w:r w:rsidR="001D4113" w:rsidRPr="001D4113">
              <w:rPr>
                <w:rFonts w:asciiTheme="minorHAnsi" w:eastAsiaTheme="minorEastAsia" w:hAnsiTheme="minorHAnsi" w:cstheme="minorHAnsi"/>
                <w:sz w:val="20"/>
                <w:szCs w:val="20"/>
              </w:rPr>
              <w:t xml:space="preserve"> activamente la participación de las mujeres mediante al</w:t>
            </w:r>
            <w:r w:rsidR="001D4113">
              <w:rPr>
                <w:rFonts w:asciiTheme="minorHAnsi" w:eastAsiaTheme="minorEastAsia" w:hAnsiTheme="minorHAnsi" w:cstheme="minorHAnsi"/>
                <w:sz w:val="20"/>
                <w:szCs w:val="20"/>
              </w:rPr>
              <w:t xml:space="preserve"> </w:t>
            </w:r>
            <w:r w:rsidR="001D4113" w:rsidRPr="001D4113">
              <w:rPr>
                <w:rFonts w:asciiTheme="minorHAnsi" w:eastAsiaTheme="minorEastAsia" w:hAnsiTheme="minorHAnsi" w:cstheme="minorHAnsi"/>
                <w:sz w:val="20"/>
                <w:szCs w:val="20"/>
              </w:rPr>
              <w:t>menos una de las siguientes acciones:</w:t>
            </w:r>
            <w:r w:rsidR="001D4113">
              <w:rPr>
                <w:rFonts w:asciiTheme="minorHAnsi" w:eastAsiaTheme="minorEastAsia" w:hAnsiTheme="minorHAnsi" w:cstheme="minorHAnsi"/>
                <w:sz w:val="20"/>
                <w:szCs w:val="20"/>
              </w:rPr>
              <w:t xml:space="preserve"> i) </w:t>
            </w:r>
            <w:r w:rsidR="001D4113" w:rsidRPr="001D4113">
              <w:rPr>
                <w:rFonts w:asciiTheme="minorHAnsi" w:eastAsiaTheme="minorEastAsia" w:hAnsiTheme="minorHAnsi" w:cstheme="minorHAnsi"/>
                <w:sz w:val="20"/>
                <w:szCs w:val="20"/>
              </w:rPr>
              <w:t>Inclusión en los estatutos y/o políticas internas de liderazgo o empoderamiento</w:t>
            </w:r>
            <w:r w:rsidR="001D4113">
              <w:rPr>
                <w:rFonts w:asciiTheme="minorHAnsi" w:eastAsiaTheme="minorEastAsia" w:hAnsiTheme="minorHAnsi" w:cstheme="minorHAnsi"/>
                <w:sz w:val="20"/>
                <w:szCs w:val="20"/>
              </w:rPr>
              <w:t xml:space="preserve">, ii) </w:t>
            </w:r>
            <w:r w:rsidR="001D4113" w:rsidRPr="001D4113">
              <w:rPr>
                <w:rFonts w:asciiTheme="minorHAnsi" w:eastAsiaTheme="minorEastAsia" w:hAnsiTheme="minorHAnsi" w:cstheme="minorHAnsi"/>
                <w:sz w:val="20"/>
                <w:szCs w:val="20"/>
              </w:rPr>
              <w:t>Presencia en el padrón de socios/as</w:t>
            </w:r>
            <w:r w:rsidR="001D4113">
              <w:rPr>
                <w:rFonts w:asciiTheme="minorHAnsi" w:eastAsiaTheme="minorEastAsia" w:hAnsiTheme="minorHAnsi" w:cstheme="minorHAnsi"/>
                <w:sz w:val="20"/>
                <w:szCs w:val="20"/>
              </w:rPr>
              <w:t xml:space="preserve">, iii) </w:t>
            </w:r>
            <w:r w:rsidR="001D4113" w:rsidRPr="001D4113">
              <w:rPr>
                <w:rFonts w:asciiTheme="minorHAnsi" w:eastAsiaTheme="minorEastAsia" w:hAnsiTheme="minorHAnsi" w:cstheme="minorHAnsi"/>
                <w:sz w:val="20"/>
                <w:szCs w:val="20"/>
              </w:rPr>
              <w:t>Existencia de comités de mujeres</w:t>
            </w:r>
            <w:r w:rsidR="001D4113">
              <w:rPr>
                <w:rFonts w:asciiTheme="minorHAnsi" w:eastAsiaTheme="minorEastAsia" w:hAnsiTheme="minorHAnsi" w:cstheme="minorHAnsi"/>
                <w:sz w:val="20"/>
                <w:szCs w:val="20"/>
              </w:rPr>
              <w:t xml:space="preserve"> y iv) r</w:t>
            </w:r>
            <w:r w:rsidR="001D4113" w:rsidRPr="001D4113">
              <w:rPr>
                <w:rFonts w:asciiTheme="minorHAnsi" w:eastAsiaTheme="minorEastAsia" w:hAnsiTheme="minorHAnsi" w:cstheme="minorHAnsi"/>
                <w:sz w:val="20"/>
                <w:szCs w:val="20"/>
              </w:rPr>
              <w:t>epresentación en espacios de toma de decisión u otras medidas demostrables.</w:t>
            </w:r>
            <w:r w:rsidR="001D4113">
              <w:rPr>
                <w:rFonts w:asciiTheme="minorHAnsi" w:eastAsiaTheme="minorEastAsia" w:hAnsiTheme="minorHAnsi" w:cstheme="minorHAnsi"/>
                <w:sz w:val="20"/>
                <w:szCs w:val="20"/>
              </w:rPr>
              <w:t xml:space="preserve"> De esa manera, en </w:t>
            </w:r>
            <w:r w:rsidRPr="003A7DFF">
              <w:rPr>
                <w:rFonts w:asciiTheme="minorHAnsi" w:eastAsiaTheme="minorEastAsia" w:hAnsiTheme="minorHAnsi" w:cstheme="minorHAnsi"/>
                <w:sz w:val="20"/>
                <w:szCs w:val="20"/>
              </w:rPr>
              <w:t xml:space="preserve">el XVI Salón del Cacao y Chocolate 2025, </w:t>
            </w:r>
            <w:r w:rsidR="009400C4">
              <w:rPr>
                <w:rFonts w:asciiTheme="minorHAnsi" w:eastAsiaTheme="minorEastAsia" w:hAnsiTheme="minorHAnsi" w:cstheme="minorHAnsi"/>
                <w:sz w:val="20"/>
                <w:szCs w:val="20"/>
              </w:rPr>
              <w:t>10</w:t>
            </w:r>
            <w:r w:rsidR="001D4113">
              <w:rPr>
                <w:rFonts w:asciiTheme="minorHAnsi" w:eastAsiaTheme="minorEastAsia" w:hAnsiTheme="minorHAnsi" w:cstheme="minorHAnsi"/>
                <w:sz w:val="20"/>
                <w:szCs w:val="20"/>
              </w:rPr>
              <w:t xml:space="preserve"> organizaciones participaron del stand del MINAM </w:t>
            </w:r>
            <w:r w:rsidR="009400C4">
              <w:rPr>
                <w:rFonts w:asciiTheme="minorHAnsi" w:eastAsiaTheme="minorEastAsia" w:hAnsiTheme="minorHAnsi" w:cstheme="minorHAnsi"/>
                <w:sz w:val="20"/>
                <w:szCs w:val="20"/>
              </w:rPr>
              <w:t xml:space="preserve">(8) </w:t>
            </w:r>
            <w:r w:rsidR="001D4113">
              <w:rPr>
                <w:rFonts w:asciiTheme="minorHAnsi" w:eastAsiaTheme="minorEastAsia" w:hAnsiTheme="minorHAnsi" w:cstheme="minorHAnsi"/>
                <w:sz w:val="20"/>
                <w:szCs w:val="20"/>
              </w:rPr>
              <w:t xml:space="preserve">y </w:t>
            </w:r>
            <w:r w:rsidR="009400C4">
              <w:rPr>
                <w:rFonts w:asciiTheme="minorHAnsi" w:eastAsiaTheme="minorEastAsia" w:hAnsiTheme="minorHAnsi" w:cstheme="minorHAnsi"/>
                <w:sz w:val="20"/>
                <w:szCs w:val="20"/>
              </w:rPr>
              <w:t xml:space="preserve">en </w:t>
            </w:r>
            <w:r w:rsidR="001D4113">
              <w:rPr>
                <w:rFonts w:asciiTheme="minorHAnsi" w:eastAsiaTheme="minorEastAsia" w:hAnsiTheme="minorHAnsi" w:cstheme="minorHAnsi"/>
                <w:sz w:val="20"/>
                <w:szCs w:val="20"/>
              </w:rPr>
              <w:t>las ruedas de negocio</w:t>
            </w:r>
            <w:r w:rsidR="009400C4">
              <w:rPr>
                <w:rFonts w:asciiTheme="minorHAnsi" w:eastAsiaTheme="minorEastAsia" w:hAnsiTheme="minorHAnsi" w:cstheme="minorHAnsi"/>
                <w:sz w:val="20"/>
                <w:szCs w:val="20"/>
              </w:rPr>
              <w:t xml:space="preserve"> (10). En total se capacitó </w:t>
            </w:r>
            <w:r w:rsidR="009400C4">
              <w:rPr>
                <w:rFonts w:asciiTheme="minorHAnsi" w:eastAsiaTheme="minorEastAsia" w:hAnsiTheme="minorHAnsi" w:cstheme="minorHAnsi"/>
                <w:sz w:val="20"/>
                <w:szCs w:val="20"/>
              </w:rPr>
              <w:lastRenderedPageBreak/>
              <w:t>directamente a 7 productores y 11 productoras de las 10 organizaciones, los cuales representan a 1,800 socios, de los cuales se estima que aproximadamente 540 son mujeres. En este marco, se diseñó e</w:t>
            </w:r>
            <w:r w:rsidRPr="003A7DFF">
              <w:rPr>
                <w:rFonts w:asciiTheme="minorHAnsi" w:eastAsiaTheme="minorEastAsia" w:hAnsiTheme="minorHAnsi" w:cstheme="minorHAnsi"/>
                <w:sz w:val="20"/>
                <w:szCs w:val="20"/>
              </w:rPr>
              <w:t xml:space="preserve"> implementó el curso de "Fortalecimiento de capacidades comerciales", contribuyendo directamente a la formación y visibilidad de las mujeres en la toma de decisiones comerciales.</w:t>
            </w:r>
          </w:p>
          <w:p w14:paraId="4B37F6FE" w14:textId="1E95D9D2" w:rsidR="003A7DFF" w:rsidRPr="003A7DFF" w:rsidRDefault="003A7DFF" w:rsidP="003A7DFF">
            <w:pPr>
              <w:rPr>
                <w:rFonts w:asciiTheme="minorHAnsi" w:eastAsiaTheme="minorEastAsia" w:hAnsiTheme="minorHAnsi" w:cstheme="minorHAnsi"/>
                <w:sz w:val="20"/>
                <w:szCs w:val="20"/>
              </w:rPr>
            </w:pPr>
            <w:r w:rsidRPr="003A7DFF">
              <w:rPr>
                <w:rFonts w:asciiTheme="minorHAnsi" w:eastAsiaTheme="minorEastAsia" w:hAnsiTheme="minorHAnsi" w:cstheme="minorHAnsi"/>
                <w:sz w:val="20"/>
                <w:szCs w:val="20"/>
              </w:rPr>
              <w:t>Asimismo, durante las ruedas de negocio de la ExpoAmazónica, se brindó acompañamiento y asistencia técnica a tres organizaciones</w:t>
            </w:r>
            <w:r w:rsidR="009400C4">
              <w:rPr>
                <w:rFonts w:asciiTheme="minorHAnsi" w:eastAsiaTheme="minorEastAsia" w:hAnsiTheme="minorHAnsi" w:cstheme="minorHAnsi"/>
                <w:sz w:val="20"/>
                <w:szCs w:val="20"/>
              </w:rPr>
              <w:t xml:space="preserve"> de productores</w:t>
            </w:r>
            <w:r w:rsidRPr="003A7DFF">
              <w:rPr>
                <w:rFonts w:asciiTheme="minorHAnsi" w:eastAsiaTheme="minorEastAsia" w:hAnsiTheme="minorHAnsi" w:cstheme="minorHAnsi"/>
                <w:sz w:val="20"/>
                <w:szCs w:val="20"/>
              </w:rPr>
              <w:t xml:space="preserve">. Participaron 8 gerentes o presidentes, de los cuales 2 fueron mujeres, promoviendo su liderazgo en espacios estratégicos de negociación. </w:t>
            </w:r>
            <w:r w:rsidR="009400C4">
              <w:rPr>
                <w:rFonts w:asciiTheme="minorHAnsi" w:eastAsiaTheme="minorEastAsia" w:hAnsiTheme="minorHAnsi" w:cstheme="minorHAnsi"/>
                <w:sz w:val="20"/>
                <w:szCs w:val="20"/>
              </w:rPr>
              <w:t xml:space="preserve"> </w:t>
            </w:r>
          </w:p>
          <w:p w14:paraId="19387B5D" w14:textId="4D05F17B" w:rsidR="003A7DFF" w:rsidRDefault="009400C4" w:rsidP="003A7DFF">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Del mismo modo, durante la </w:t>
            </w:r>
            <w:r w:rsidR="003A7DFF" w:rsidRPr="003A7DFF">
              <w:rPr>
                <w:rFonts w:asciiTheme="minorHAnsi" w:eastAsiaTheme="minorEastAsia" w:hAnsiTheme="minorHAnsi" w:cstheme="minorHAnsi"/>
                <w:sz w:val="20"/>
                <w:szCs w:val="20"/>
              </w:rPr>
              <w:t>Feria Internacional de Cafés Especiales - FICAFÉ, se facilitó la participación de 12 organizaciones de productores, a través del stand del MINAM y de ruedas de negocios nacionales e internacionales. Se estima que el 30% de sus socios son mujeres, fortaleciendo su presencia y participación en la cadena de valor del café sostenible. Gracias a estas acciones, se generó una intención de compra de S/. 20,</w:t>
            </w:r>
            <w:r w:rsidR="003A7DFF" w:rsidRPr="003A7DFF">
              <w:rPr>
                <w:rFonts w:asciiTheme="minorHAnsi" w:eastAsiaTheme="minorEastAsia" w:hAnsiTheme="minorHAnsi" w:cstheme="minorHAnsi"/>
                <w:sz w:val="20"/>
                <w:szCs w:val="20"/>
              </w:rPr>
              <w:t>858,000, mostrando que la inclusión de mujeres en la gestión y negociación de sus organizaciones contribuye tanto a la competitividad comercial como al empoderamiento económico femenino.</w:t>
            </w:r>
          </w:p>
          <w:p w14:paraId="174B5AB2" w14:textId="13429293" w:rsidR="00265AA1" w:rsidRPr="00DE692F" w:rsidRDefault="00E166E8" w:rsidP="008F1A7B">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Representantes</w:t>
            </w:r>
            <w:r w:rsidR="006C4937" w:rsidRPr="00DE692F">
              <w:rPr>
                <w:rFonts w:asciiTheme="minorHAnsi" w:eastAsiaTheme="minorEastAsia" w:hAnsiTheme="minorHAnsi" w:cstheme="minorHAnsi"/>
                <w:sz w:val="20"/>
                <w:szCs w:val="20"/>
              </w:rPr>
              <w:t xml:space="preserve"> de ocho (08) organizaciones productoras: siete (07) varones y nueve (09) mujeres, </w:t>
            </w:r>
            <w:r>
              <w:rPr>
                <w:rFonts w:asciiTheme="minorHAnsi" w:eastAsiaTheme="minorEastAsia" w:hAnsiTheme="minorHAnsi" w:cstheme="minorHAnsi"/>
                <w:sz w:val="20"/>
                <w:szCs w:val="20"/>
              </w:rPr>
              <w:t xml:space="preserve">participaron del </w:t>
            </w:r>
            <w:r w:rsidRPr="00DE692F">
              <w:rPr>
                <w:rFonts w:asciiTheme="minorHAnsi" w:eastAsiaTheme="minorEastAsia" w:hAnsiTheme="minorHAnsi" w:cstheme="minorHAnsi"/>
                <w:b/>
                <w:bCs/>
                <w:sz w:val="20"/>
                <w:szCs w:val="20"/>
              </w:rPr>
              <w:t>XVI Salón del Cacao y Chocolate 2025</w:t>
            </w:r>
            <w:r>
              <w:rPr>
                <w:rFonts w:asciiTheme="minorHAnsi" w:eastAsiaTheme="minorEastAsia" w:hAnsiTheme="minorHAnsi" w:cstheme="minorHAnsi"/>
                <w:b/>
                <w:bCs/>
                <w:sz w:val="20"/>
                <w:szCs w:val="20"/>
              </w:rPr>
              <w:t xml:space="preserve">, </w:t>
            </w:r>
            <w:r w:rsidR="006C4937" w:rsidRPr="00DE692F">
              <w:rPr>
                <w:rFonts w:asciiTheme="minorHAnsi" w:eastAsiaTheme="minorEastAsia" w:hAnsiTheme="minorHAnsi" w:cstheme="minorHAnsi"/>
                <w:sz w:val="20"/>
                <w:szCs w:val="20"/>
              </w:rPr>
              <w:t>con el objetivo de fortalecer sus capacidades para una participación estratégica en el</w:t>
            </w:r>
            <w:r w:rsidR="00FC79E6">
              <w:rPr>
                <w:rFonts w:asciiTheme="minorHAnsi" w:eastAsiaTheme="minorEastAsia" w:hAnsiTheme="minorHAnsi" w:cstheme="minorHAnsi"/>
                <w:sz w:val="20"/>
                <w:szCs w:val="20"/>
              </w:rPr>
              <w:t xml:space="preserve">mismo. </w:t>
            </w:r>
            <w:r w:rsidR="00443AA7" w:rsidRPr="00DE692F">
              <w:rPr>
                <w:rFonts w:asciiTheme="minorHAnsi" w:eastAsiaTheme="minorEastAsia" w:hAnsiTheme="minorHAnsi" w:cstheme="minorHAnsi"/>
                <w:sz w:val="20"/>
                <w:szCs w:val="20"/>
              </w:rPr>
              <w:t xml:space="preserve">, </w:t>
            </w:r>
            <w:r w:rsidR="00FC79E6">
              <w:rPr>
                <w:rFonts w:asciiTheme="minorHAnsi" w:eastAsiaTheme="minorEastAsia" w:hAnsiTheme="minorHAnsi" w:cstheme="minorHAnsi"/>
                <w:sz w:val="20"/>
                <w:szCs w:val="20"/>
              </w:rPr>
              <w:t>C</w:t>
            </w:r>
            <w:r w:rsidR="006C4937" w:rsidRPr="00DE692F">
              <w:rPr>
                <w:rFonts w:asciiTheme="minorHAnsi" w:eastAsiaTheme="minorEastAsia" w:hAnsiTheme="minorHAnsi" w:cstheme="minorHAnsi"/>
                <w:sz w:val="20"/>
                <w:szCs w:val="20"/>
              </w:rPr>
              <w:t xml:space="preserve">omo resultado, las y los participantes desarrollaron competencias en preparación comercial, presentación de productos, comunicación de atributos de calidad y sostenibilidad, y relacionamiento con potenciales compradores, lo que permitió optimizar su desempeño en el evento, mejorar la visibilidad de sus organizaciones y generar oportunidades de articulación comercial, contribuyendo al posicionamiento del cacao de origen, al fortalecimiento del liderazgo de las mujeres en espacios comerciales y a una participación </w:t>
            </w:r>
            <w:r w:rsidR="006C4937" w:rsidRPr="00DE692F">
              <w:rPr>
                <w:rFonts w:asciiTheme="minorHAnsi" w:eastAsiaTheme="minorEastAsia" w:hAnsiTheme="minorHAnsi" w:cstheme="minorHAnsi"/>
                <w:sz w:val="20"/>
                <w:szCs w:val="20"/>
              </w:rPr>
              <w:t>más informada y competitiva en ferias especializadas.</w:t>
            </w:r>
            <w:r w:rsidR="007B5748" w:rsidRPr="00DE692F">
              <w:rPr>
                <w:rFonts w:asciiTheme="minorHAnsi" w:eastAsiaTheme="minorEastAsia" w:hAnsiTheme="minorHAnsi" w:cstheme="minorHAnsi"/>
                <w:sz w:val="20"/>
                <w:szCs w:val="20"/>
              </w:rPr>
              <w:t xml:space="preserve"> </w:t>
            </w:r>
            <w:r w:rsidR="006C4937" w:rsidRPr="00DE692F">
              <w:rPr>
                <w:rFonts w:asciiTheme="minorHAnsi" w:eastAsiaTheme="minorEastAsia" w:hAnsiTheme="minorHAnsi" w:cstheme="minorHAnsi"/>
                <w:sz w:val="20"/>
                <w:szCs w:val="20"/>
              </w:rPr>
              <w:t xml:space="preserve">Se coordinó la participación de 45 productoras de cacao representantes de las organizaciones (CEPROAA, APROCAM, Choba Choba, Oro Verde, ACOPAGRO) en el </w:t>
            </w:r>
            <w:r w:rsidR="006C4937" w:rsidRPr="00DE692F">
              <w:rPr>
                <w:rFonts w:asciiTheme="minorHAnsi" w:eastAsiaTheme="minorEastAsia" w:hAnsiTheme="minorHAnsi" w:cstheme="minorHAnsi"/>
                <w:b/>
                <w:bCs/>
                <w:sz w:val="20"/>
                <w:szCs w:val="20"/>
              </w:rPr>
              <w:t>XV Encuentro Nacional de Mujeres Cacaoteras</w:t>
            </w:r>
            <w:r w:rsidR="006C4937" w:rsidRPr="00DE692F">
              <w:rPr>
                <w:rFonts w:asciiTheme="minorHAnsi" w:eastAsiaTheme="minorEastAsia" w:hAnsiTheme="minorHAnsi" w:cstheme="minorHAnsi"/>
                <w:sz w:val="20"/>
                <w:szCs w:val="20"/>
              </w:rPr>
              <w:t xml:space="preserve"> promovido por APPCacao en alianza con el Proyecto FOLUR del Ministerio del Ambiente</w:t>
            </w:r>
            <w:r w:rsidR="008F1A7B" w:rsidRPr="00DE692F">
              <w:rPr>
                <w:rFonts w:asciiTheme="minorHAnsi" w:eastAsiaTheme="minorEastAsia" w:hAnsiTheme="minorHAnsi" w:cstheme="minorHAnsi"/>
                <w:sz w:val="20"/>
                <w:szCs w:val="20"/>
              </w:rPr>
              <w:t>, l</w:t>
            </w:r>
            <w:r w:rsidR="006C4937" w:rsidRPr="00DE692F">
              <w:rPr>
                <w:rFonts w:asciiTheme="minorHAnsi" w:eastAsiaTheme="minorEastAsia" w:hAnsiTheme="minorHAnsi" w:cstheme="minorHAnsi"/>
                <w:sz w:val="20"/>
                <w:szCs w:val="20"/>
              </w:rPr>
              <w:t xml:space="preserve">o que permitió el fortalecimiento del liderazgo, la articulación y el intercambio de experiencias entre mujeres productoras de distintas regiones, así como visibilizar sus aportes en la cadena de valor del cacao; como resultado, las participantes conocieron de manera directa la experiencia de una </w:t>
            </w:r>
            <w:r w:rsidR="006C4937" w:rsidRPr="00DE692F">
              <w:rPr>
                <w:rFonts w:asciiTheme="minorHAnsi" w:eastAsiaTheme="minorEastAsia" w:hAnsiTheme="minorHAnsi" w:cstheme="minorHAnsi"/>
                <w:b/>
                <w:bCs/>
                <w:sz w:val="20"/>
                <w:szCs w:val="20"/>
              </w:rPr>
              <w:t>cooperativa cacaotera sostenible con un claro enfoque de género</w:t>
            </w:r>
            <w:r w:rsidR="006C4937" w:rsidRPr="00DE692F">
              <w:rPr>
                <w:rFonts w:asciiTheme="minorHAnsi" w:eastAsiaTheme="minorEastAsia" w:hAnsiTheme="minorHAnsi" w:cstheme="minorHAnsi"/>
                <w:sz w:val="20"/>
                <w:szCs w:val="20"/>
              </w:rPr>
              <w:t xml:space="preserve">, a través del funcionamiento y los logros de sus </w:t>
            </w:r>
            <w:r w:rsidR="006C4937" w:rsidRPr="00DE692F">
              <w:rPr>
                <w:rFonts w:asciiTheme="minorHAnsi" w:eastAsiaTheme="minorEastAsia" w:hAnsiTheme="minorHAnsi" w:cstheme="minorHAnsi"/>
                <w:b/>
                <w:bCs/>
                <w:sz w:val="20"/>
                <w:szCs w:val="20"/>
              </w:rPr>
              <w:t>Comités de Desarrollo de la Mujer (CODEMUS)</w:t>
            </w:r>
            <w:r w:rsidR="006C4937" w:rsidRPr="00DE692F">
              <w:rPr>
                <w:rFonts w:asciiTheme="minorHAnsi" w:eastAsiaTheme="minorEastAsia" w:hAnsiTheme="minorHAnsi" w:cstheme="minorHAnsi"/>
                <w:sz w:val="20"/>
                <w:szCs w:val="20"/>
              </w:rPr>
              <w:t>, lo que les permitió identificar buenas prácticas en organización, gobernanza inclusiva y empoderamiento económico, reforzar sus capacidades de representación y participación en espacios gremiales, y recoger aprendizajes aplicables a sus propias organizaciones para avanzar hacia modelos productivos más equitativos, sostenibles y liderados por mujeres.</w:t>
            </w:r>
          </w:p>
        </w:tc>
      </w:tr>
      <w:tr w:rsidR="00265AA1" w:rsidRPr="00DE692F" w14:paraId="74DCAAFC" w14:textId="77777777" w:rsidTr="00AE3C90">
        <w:trPr>
          <w:trHeight w:val="496"/>
        </w:trPr>
        <w:tc>
          <w:tcPr>
            <w:tcW w:w="435" w:type="dxa"/>
            <w:shd w:val="clear" w:color="auto" w:fill="FFFFFF" w:themeFill="background1"/>
          </w:tcPr>
          <w:p w14:paraId="6360F38F" w14:textId="77777777" w:rsidR="00265AA1" w:rsidRPr="00DE692F" w:rsidRDefault="00265AA1" w:rsidP="00265AA1">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3</w:t>
            </w:r>
          </w:p>
        </w:tc>
        <w:tc>
          <w:tcPr>
            <w:tcW w:w="8354" w:type="dxa"/>
          </w:tcPr>
          <w:p w14:paraId="196C8FFD" w14:textId="68083073" w:rsidR="00265AA1" w:rsidRPr="00DE692F" w:rsidRDefault="006C4937" w:rsidP="006C4937">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Al 31 de diciembre del 2025, el Proyecto ha logrado beneficiar a  </w:t>
            </w:r>
            <w:r w:rsidRPr="00DE692F">
              <w:rPr>
                <w:rFonts w:asciiTheme="minorHAnsi" w:eastAsiaTheme="minorEastAsia" w:hAnsiTheme="minorHAnsi" w:cstheme="minorHAnsi"/>
                <w:b/>
                <w:bCs/>
                <w:sz w:val="20"/>
                <w:szCs w:val="20"/>
              </w:rPr>
              <w:t>4,</w:t>
            </w:r>
            <w:r w:rsidR="00FF54DC">
              <w:rPr>
                <w:rFonts w:asciiTheme="minorHAnsi" w:eastAsiaTheme="minorEastAsia" w:hAnsiTheme="minorHAnsi" w:cstheme="minorHAnsi"/>
                <w:b/>
                <w:bCs/>
                <w:sz w:val="20"/>
                <w:szCs w:val="20"/>
              </w:rPr>
              <w:t>95</w:t>
            </w:r>
            <w:r w:rsidRPr="00DE692F">
              <w:rPr>
                <w:rFonts w:asciiTheme="minorHAnsi" w:eastAsiaTheme="minorEastAsia" w:hAnsiTheme="minorHAnsi" w:cstheme="minorHAnsi"/>
                <w:b/>
                <w:bCs/>
                <w:sz w:val="20"/>
                <w:szCs w:val="20"/>
              </w:rPr>
              <w:t>5 mujeres</w:t>
            </w:r>
            <w:r w:rsidRPr="00DE692F">
              <w:rPr>
                <w:rFonts w:asciiTheme="minorHAnsi" w:eastAsiaTheme="minorEastAsia" w:hAnsiTheme="minorHAnsi" w:cstheme="minorHAnsi"/>
                <w:sz w:val="20"/>
                <w:szCs w:val="20"/>
              </w:rPr>
              <w:t xml:space="preserve">  lo que representa el </w:t>
            </w:r>
            <w:r w:rsidR="00FF54DC">
              <w:rPr>
                <w:rFonts w:asciiTheme="minorHAnsi" w:eastAsiaTheme="minorEastAsia" w:hAnsiTheme="minorHAnsi" w:cstheme="minorHAnsi"/>
                <w:sz w:val="20"/>
                <w:szCs w:val="20"/>
              </w:rPr>
              <w:t>9</w:t>
            </w:r>
            <w:r w:rsidRPr="00DE692F">
              <w:rPr>
                <w:rFonts w:asciiTheme="minorHAnsi" w:eastAsiaTheme="minorEastAsia" w:hAnsiTheme="minorHAnsi" w:cstheme="minorHAnsi"/>
                <w:sz w:val="20"/>
                <w:szCs w:val="20"/>
              </w:rPr>
              <w:t>.2% del total de mujeres proyectadas a atender, cuyo objetivo asciende a  54,000 beneficiarias</w:t>
            </w:r>
            <w:r w:rsidR="008F1A7B" w:rsidRPr="00DE692F">
              <w:rPr>
                <w:rFonts w:asciiTheme="minorHAnsi" w:eastAsiaTheme="minorEastAsia" w:hAnsiTheme="minorHAnsi" w:cstheme="minorHAnsi"/>
                <w:sz w:val="20"/>
                <w:szCs w:val="20"/>
              </w:rPr>
              <w:t xml:space="preserve"> a</w:t>
            </w:r>
            <w:r w:rsidRPr="00DE692F">
              <w:rPr>
                <w:rFonts w:asciiTheme="minorHAnsi" w:eastAsiaTheme="minorEastAsia" w:hAnsiTheme="minorHAnsi" w:cstheme="minorHAnsi"/>
                <w:sz w:val="20"/>
                <w:szCs w:val="20"/>
              </w:rPr>
              <w:t xml:space="preserve"> lo largo de su implementación; este avance evidencia un progreso sostenido en la incorporación de mujeres en las intervenciones del Proyecto, particularmente en procesos de fortalecimiento de capacidades, liderazgo, participación organizacional y acceso a oportunidades productivas y comerciales, sentando una base sólida para escalar los resultados en los siguientes periodos y consolidar impactos transformadores en las economías familiares y en la gobernanza de las cadenas de valor priorizadas.</w:t>
            </w:r>
            <w:r w:rsidR="00265AA1" w:rsidRPr="00DE692F">
              <w:rPr>
                <w:rFonts w:asciiTheme="minorHAnsi" w:eastAsiaTheme="minorEastAsia" w:hAnsiTheme="minorHAnsi" w:cstheme="minorHAnsi"/>
                <w:sz w:val="20"/>
                <w:szCs w:val="20"/>
              </w:rPr>
              <w:t xml:space="preserve"> </w:t>
            </w:r>
          </w:p>
        </w:tc>
      </w:tr>
    </w:tbl>
    <w:p w14:paraId="00CD4726" w14:textId="66D1BB7B" w:rsidR="31BDC04C" w:rsidRPr="00DE692F" w:rsidRDefault="31BDC04C" w:rsidP="78958753">
      <w:pPr>
        <w:rPr>
          <w:rFonts w:asciiTheme="minorHAnsi" w:eastAsiaTheme="minorEastAsia" w:hAnsiTheme="minorHAnsi" w:cstheme="minorHAnsi"/>
          <w:b/>
          <w:sz w:val="20"/>
          <w:szCs w:val="20"/>
        </w:rPr>
      </w:pPr>
    </w:p>
    <w:p w14:paraId="63306725" w14:textId="48009E12" w:rsidR="00181CEA" w:rsidRPr="00DE692F" w:rsidRDefault="78958753" w:rsidP="00C2643E">
      <w:pPr>
        <w:pStyle w:val="Prrafodelista"/>
        <w:numPr>
          <w:ilvl w:val="0"/>
          <w:numId w:val="21"/>
        </w:numPr>
        <w:tabs>
          <w:tab w:val="left" w:pos="4680"/>
        </w:tabs>
        <w:rPr>
          <w:rFonts w:asciiTheme="minorHAnsi" w:hAnsiTheme="minorHAnsi" w:cstheme="minorHAnsi"/>
          <w:b/>
          <w:bCs/>
          <w:sz w:val="20"/>
          <w:szCs w:val="20"/>
        </w:rPr>
      </w:pPr>
      <w:r w:rsidRPr="00DE692F">
        <w:rPr>
          <w:rFonts w:asciiTheme="minorHAnsi" w:eastAsiaTheme="minorEastAsia" w:hAnsiTheme="minorHAnsi" w:cstheme="minorBidi"/>
          <w:b/>
          <w:bCs/>
          <w:sz w:val="20"/>
          <w:szCs w:val="20"/>
        </w:rPr>
        <w:t>RECOMENDACIONES</w:t>
      </w:r>
      <w:r w:rsidR="007E4326" w:rsidRPr="00DE692F">
        <w:rPr>
          <w:rFonts w:asciiTheme="minorHAnsi" w:eastAsiaTheme="minorEastAsia" w:hAnsiTheme="minorHAnsi" w:cstheme="minorBidi"/>
          <w:b/>
          <w:bCs/>
          <w:sz w:val="20"/>
          <w:szCs w:val="20"/>
        </w:rPr>
        <w:t xml:space="preserve"> (OPCIONAL)</w:t>
      </w:r>
    </w:p>
    <w:p w14:paraId="26A56458" w14:textId="69EF80F9" w:rsidR="00181CEA" w:rsidRPr="00DE692F" w:rsidRDefault="007E4326" w:rsidP="00D13B22">
      <w:pPr>
        <w:tabs>
          <w:tab w:val="left" w:pos="4680"/>
        </w:tabs>
        <w:ind w:left="180"/>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Describir</w:t>
      </w:r>
      <w:r w:rsidR="78958753" w:rsidRPr="00DE692F">
        <w:rPr>
          <w:rFonts w:asciiTheme="minorHAnsi" w:eastAsiaTheme="minorEastAsia" w:hAnsiTheme="minorHAnsi" w:cstheme="minorHAnsi"/>
          <w:sz w:val="20"/>
          <w:szCs w:val="20"/>
        </w:rPr>
        <w:t xml:space="preserve"> a</w:t>
      </w:r>
      <w:r w:rsidRPr="00DE692F">
        <w:rPr>
          <w:rFonts w:asciiTheme="minorHAnsi" w:eastAsiaTheme="minorEastAsia" w:hAnsiTheme="minorHAnsi" w:cstheme="minorHAnsi"/>
          <w:sz w:val="20"/>
          <w:szCs w:val="20"/>
        </w:rPr>
        <w:t>lgunas reflexiones y</w:t>
      </w:r>
      <w:r w:rsidR="78958753" w:rsidRPr="00DE692F">
        <w:rPr>
          <w:rFonts w:asciiTheme="minorHAnsi" w:eastAsiaTheme="minorEastAsia" w:hAnsiTheme="minorHAnsi" w:cstheme="minorHAnsi"/>
          <w:sz w:val="20"/>
          <w:szCs w:val="20"/>
        </w:rPr>
        <w:t xml:space="preserve"> </w:t>
      </w:r>
      <w:r w:rsidRPr="00DE692F">
        <w:rPr>
          <w:rFonts w:asciiTheme="minorHAnsi" w:eastAsiaTheme="minorEastAsia" w:hAnsiTheme="minorHAnsi" w:cstheme="minorHAnsi"/>
          <w:sz w:val="20"/>
          <w:szCs w:val="20"/>
        </w:rPr>
        <w:t>a</w:t>
      </w:r>
      <w:r w:rsidR="78958753" w:rsidRPr="00DE692F">
        <w:rPr>
          <w:rFonts w:asciiTheme="minorHAnsi" w:eastAsiaTheme="minorEastAsia" w:hAnsiTheme="minorHAnsi" w:cstheme="minorHAnsi"/>
          <w:sz w:val="20"/>
          <w:szCs w:val="20"/>
        </w:rPr>
        <w:t xml:space="preserve">preciaciones </w:t>
      </w:r>
      <w:r w:rsidRPr="00DE692F">
        <w:rPr>
          <w:rFonts w:asciiTheme="minorHAnsi" w:eastAsiaTheme="minorEastAsia" w:hAnsiTheme="minorHAnsi" w:cstheme="minorHAnsi"/>
          <w:sz w:val="20"/>
          <w:szCs w:val="20"/>
        </w:rPr>
        <w:t>g</w:t>
      </w:r>
      <w:r w:rsidR="78958753" w:rsidRPr="00DE692F">
        <w:rPr>
          <w:rFonts w:asciiTheme="minorHAnsi" w:eastAsiaTheme="minorEastAsia" w:hAnsiTheme="minorHAnsi" w:cstheme="minorHAnsi"/>
          <w:sz w:val="20"/>
          <w:szCs w:val="20"/>
        </w:rPr>
        <w:t xml:space="preserve">enerales </w:t>
      </w:r>
      <w:r w:rsidRPr="00DE692F">
        <w:rPr>
          <w:rFonts w:asciiTheme="minorHAnsi" w:eastAsiaTheme="minorEastAsia" w:hAnsiTheme="minorHAnsi" w:cstheme="minorHAnsi"/>
          <w:sz w:val="20"/>
          <w:szCs w:val="20"/>
        </w:rPr>
        <w:t xml:space="preserve">sobre los aciertos y oportunidades de mejora </w:t>
      </w:r>
      <w:r w:rsidR="00CE79D8" w:rsidRPr="00DE692F">
        <w:rPr>
          <w:rFonts w:asciiTheme="minorHAnsi" w:eastAsiaTheme="minorEastAsia" w:hAnsiTheme="minorHAnsi" w:cstheme="minorHAnsi"/>
          <w:sz w:val="20"/>
          <w:szCs w:val="20"/>
        </w:rPr>
        <w:t xml:space="preserve">que se presentaron durante este </w:t>
      </w:r>
      <w:r w:rsidRPr="00DE692F">
        <w:rPr>
          <w:rFonts w:asciiTheme="minorHAnsi" w:eastAsiaTheme="minorEastAsia" w:hAnsiTheme="minorHAnsi" w:cstheme="minorHAnsi"/>
          <w:sz w:val="20"/>
          <w:szCs w:val="20"/>
        </w:rPr>
        <w:t xml:space="preserve">año de implementación. </w:t>
      </w:r>
    </w:p>
    <w:p w14:paraId="4FFCBC07" w14:textId="77777777" w:rsidR="00181CEA" w:rsidRPr="00DE692F" w:rsidRDefault="00181CEA" w:rsidP="78958753">
      <w:pPr>
        <w:tabs>
          <w:tab w:val="left" w:pos="4680"/>
        </w:tabs>
        <w:rPr>
          <w:rFonts w:asciiTheme="minorHAnsi" w:eastAsiaTheme="minorEastAsia" w:hAnsiTheme="minorHAnsi" w:cstheme="minorHAnsi"/>
          <w:color w:val="0070C0"/>
          <w:sz w:val="20"/>
          <w:szCs w:val="20"/>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8354"/>
      </w:tblGrid>
      <w:tr w:rsidR="00181CEA" w:rsidRPr="00DE692F" w14:paraId="41E6C88C" w14:textId="77777777" w:rsidTr="00D82898">
        <w:trPr>
          <w:trHeight w:val="163"/>
        </w:trPr>
        <w:tc>
          <w:tcPr>
            <w:tcW w:w="435" w:type="dxa"/>
            <w:tcBorders>
              <w:bottom w:val="single" w:sz="4" w:space="0" w:color="auto"/>
            </w:tcBorders>
            <w:shd w:val="clear" w:color="auto" w:fill="C0C0C0"/>
          </w:tcPr>
          <w:p w14:paraId="13F9A875" w14:textId="77777777" w:rsidR="00181CEA" w:rsidRPr="00DE692F" w:rsidRDefault="78958753" w:rsidP="78958753">
            <w:pPr>
              <w:jc w:val="cente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N</w:t>
            </w:r>
          </w:p>
        </w:tc>
        <w:tc>
          <w:tcPr>
            <w:tcW w:w="8354" w:type="dxa"/>
            <w:shd w:val="clear" w:color="auto" w:fill="C0C0C0"/>
          </w:tcPr>
          <w:p w14:paraId="7CF7CAE3" w14:textId="77777777" w:rsidR="00181CEA" w:rsidRPr="00DE692F" w:rsidRDefault="78958753" w:rsidP="78958753">
            <w:pPr>
              <w:jc w:val="center"/>
              <w:rPr>
                <w:rFonts w:asciiTheme="minorHAnsi" w:eastAsiaTheme="minorEastAsia" w:hAnsiTheme="minorHAnsi" w:cstheme="minorHAnsi"/>
                <w:b/>
                <w:bCs/>
                <w:sz w:val="20"/>
                <w:szCs w:val="20"/>
              </w:rPr>
            </w:pPr>
            <w:r w:rsidRPr="00DE692F">
              <w:rPr>
                <w:rFonts w:asciiTheme="minorHAnsi" w:eastAsiaTheme="minorEastAsia" w:hAnsiTheme="minorHAnsi" w:cstheme="minorHAnsi"/>
                <w:b/>
                <w:bCs/>
                <w:sz w:val="20"/>
                <w:szCs w:val="20"/>
              </w:rPr>
              <w:t>Descripción</w:t>
            </w:r>
          </w:p>
        </w:tc>
      </w:tr>
      <w:tr w:rsidR="00181CEA" w:rsidRPr="00DE692F" w14:paraId="249FAAB8" w14:textId="77777777" w:rsidTr="00D82898">
        <w:trPr>
          <w:trHeight w:val="496"/>
        </w:trPr>
        <w:tc>
          <w:tcPr>
            <w:tcW w:w="435" w:type="dxa"/>
            <w:shd w:val="clear" w:color="auto" w:fill="FFFFFF" w:themeFill="background1"/>
          </w:tcPr>
          <w:p w14:paraId="19F14E3C" w14:textId="77777777" w:rsidR="00181CEA" w:rsidRPr="00DE692F" w:rsidRDefault="78958753" w:rsidP="78958753">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1</w:t>
            </w:r>
          </w:p>
        </w:tc>
        <w:tc>
          <w:tcPr>
            <w:tcW w:w="8354" w:type="dxa"/>
          </w:tcPr>
          <w:p w14:paraId="7BD58BA2" w14:textId="77777777" w:rsidR="00181CEA" w:rsidRPr="00DE692F" w:rsidRDefault="00181CEA" w:rsidP="78958753">
            <w:pPr>
              <w:rPr>
                <w:rFonts w:asciiTheme="minorHAnsi" w:eastAsiaTheme="minorEastAsia" w:hAnsiTheme="minorHAnsi" w:cstheme="minorHAnsi"/>
                <w:sz w:val="20"/>
                <w:szCs w:val="20"/>
              </w:rPr>
            </w:pPr>
          </w:p>
        </w:tc>
      </w:tr>
      <w:tr w:rsidR="00181CEA" w:rsidRPr="00DE692F" w14:paraId="78E884CA" w14:textId="77777777" w:rsidTr="00D82898">
        <w:trPr>
          <w:trHeight w:val="496"/>
        </w:trPr>
        <w:tc>
          <w:tcPr>
            <w:tcW w:w="435" w:type="dxa"/>
            <w:shd w:val="clear" w:color="auto" w:fill="FFFFFF" w:themeFill="background1"/>
          </w:tcPr>
          <w:p w14:paraId="7842F596" w14:textId="77777777" w:rsidR="00181CEA" w:rsidRPr="00DE692F" w:rsidRDefault="78958753" w:rsidP="78958753">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2</w:t>
            </w:r>
          </w:p>
        </w:tc>
        <w:tc>
          <w:tcPr>
            <w:tcW w:w="8354" w:type="dxa"/>
          </w:tcPr>
          <w:p w14:paraId="74539910" w14:textId="77777777" w:rsidR="00181CEA" w:rsidRPr="00DE692F" w:rsidRDefault="00181CEA" w:rsidP="78958753">
            <w:pPr>
              <w:rPr>
                <w:rFonts w:asciiTheme="minorHAnsi" w:eastAsiaTheme="minorEastAsia" w:hAnsiTheme="minorHAnsi" w:cstheme="minorHAnsi"/>
                <w:sz w:val="20"/>
                <w:szCs w:val="20"/>
              </w:rPr>
            </w:pPr>
          </w:p>
        </w:tc>
      </w:tr>
      <w:tr w:rsidR="00181CEA" w:rsidRPr="00DE692F" w14:paraId="7A036E3D" w14:textId="77777777" w:rsidTr="00D82898">
        <w:trPr>
          <w:trHeight w:val="496"/>
        </w:trPr>
        <w:tc>
          <w:tcPr>
            <w:tcW w:w="435" w:type="dxa"/>
            <w:shd w:val="clear" w:color="auto" w:fill="FFFFFF" w:themeFill="background1"/>
          </w:tcPr>
          <w:p w14:paraId="68D9363B" w14:textId="77777777" w:rsidR="00181CEA" w:rsidRPr="00DE692F" w:rsidRDefault="78958753" w:rsidP="78958753">
            <w:pPr>
              <w:jc w:val="cente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3</w:t>
            </w:r>
          </w:p>
        </w:tc>
        <w:tc>
          <w:tcPr>
            <w:tcW w:w="8354" w:type="dxa"/>
          </w:tcPr>
          <w:p w14:paraId="1AC5CDBE" w14:textId="77777777" w:rsidR="00181CEA" w:rsidRPr="00DE692F" w:rsidRDefault="00181CEA" w:rsidP="78958753">
            <w:pPr>
              <w:rPr>
                <w:rFonts w:asciiTheme="minorHAnsi" w:eastAsiaTheme="minorEastAsia" w:hAnsiTheme="minorHAnsi" w:cstheme="minorHAnsi"/>
                <w:sz w:val="20"/>
                <w:szCs w:val="20"/>
              </w:rPr>
            </w:pPr>
          </w:p>
        </w:tc>
      </w:tr>
    </w:tbl>
    <w:p w14:paraId="342D4C27" w14:textId="504EA28C" w:rsidR="00F20C2B" w:rsidRPr="00DE692F" w:rsidRDefault="00F20C2B" w:rsidP="78958753">
      <w:pPr>
        <w:tabs>
          <w:tab w:val="left" w:pos="4680"/>
        </w:tabs>
        <w:ind w:left="450" w:hanging="270"/>
        <w:rPr>
          <w:rFonts w:asciiTheme="minorHAnsi" w:eastAsiaTheme="minorEastAsia" w:hAnsiTheme="minorHAnsi" w:cstheme="minorHAnsi"/>
          <w:b/>
          <w:bCs/>
          <w:sz w:val="20"/>
          <w:szCs w:val="20"/>
        </w:rPr>
      </w:pPr>
    </w:p>
    <w:p w14:paraId="6349FF13" w14:textId="77777777" w:rsidR="00F20C2B" w:rsidRPr="00DE692F" w:rsidRDefault="00F20C2B">
      <w:pPr>
        <w:spacing w:after="0"/>
        <w:jc w:val="left"/>
        <w:rPr>
          <w:rFonts w:asciiTheme="minorHAnsi" w:eastAsiaTheme="minorEastAsia" w:hAnsiTheme="minorHAnsi" w:cstheme="minorHAnsi"/>
          <w:b/>
          <w:bCs/>
          <w:sz w:val="20"/>
          <w:szCs w:val="20"/>
        </w:rPr>
        <w:sectPr w:rsidR="00F20C2B" w:rsidRPr="00DE692F" w:rsidSect="005400B0">
          <w:pgSz w:w="11906" w:h="16838" w:code="9"/>
          <w:pgMar w:top="1080" w:right="1440" w:bottom="1080" w:left="1440" w:header="720" w:footer="432" w:gutter="0"/>
          <w:cols w:space="708"/>
          <w:titlePg/>
          <w:docGrid w:linePitch="360"/>
        </w:sectPr>
      </w:pPr>
      <w:r w:rsidRPr="00DE692F">
        <w:rPr>
          <w:rFonts w:asciiTheme="minorHAnsi" w:eastAsiaTheme="minorEastAsia" w:hAnsiTheme="minorHAnsi" w:cstheme="minorHAnsi"/>
          <w:b/>
          <w:bCs/>
          <w:sz w:val="20"/>
          <w:szCs w:val="20"/>
        </w:rPr>
        <w:br w:type="page"/>
      </w:r>
    </w:p>
    <w:p w14:paraId="0AE72E8E" w14:textId="297A1863" w:rsidR="001B19B3" w:rsidRPr="00DE692F" w:rsidRDefault="001B19B3" w:rsidP="001B19B3">
      <w:pPr>
        <w:rPr>
          <w:rFonts w:asciiTheme="minorHAnsi" w:hAnsiTheme="minorHAnsi" w:cstheme="minorBidi"/>
          <w:b/>
          <w:bCs/>
          <w:sz w:val="20"/>
          <w:szCs w:val="20"/>
        </w:rPr>
      </w:pPr>
    </w:p>
    <w:p w14:paraId="61F1A632" w14:textId="0757795B" w:rsidR="001B19B3" w:rsidRPr="00DE692F" w:rsidRDefault="001B19B3" w:rsidP="00296042">
      <w:pPr>
        <w:pStyle w:val="Prrafodelista"/>
        <w:numPr>
          <w:ilvl w:val="0"/>
          <w:numId w:val="21"/>
        </w:numPr>
        <w:tabs>
          <w:tab w:val="left" w:pos="4680"/>
        </w:tabs>
        <w:rPr>
          <w:rStyle w:val="Refdenotaalpie"/>
          <w:rFonts w:asciiTheme="minorHAnsi" w:hAnsiTheme="minorHAnsi" w:cstheme="minorBidi"/>
          <w:b/>
          <w:bCs/>
          <w:sz w:val="20"/>
          <w:szCs w:val="20"/>
        </w:rPr>
      </w:pPr>
      <w:r w:rsidRPr="00DE692F">
        <w:rPr>
          <w:rFonts w:asciiTheme="minorHAnsi" w:eastAsiaTheme="minorEastAsia" w:hAnsiTheme="minorHAnsi" w:cstheme="minorBidi"/>
          <w:b/>
          <w:bCs/>
          <w:sz w:val="20"/>
          <w:szCs w:val="20"/>
        </w:rPr>
        <w:t>MONITOREO DE RIESGOS</w:t>
      </w:r>
    </w:p>
    <w:p w14:paraId="50AFD791" w14:textId="77777777" w:rsidR="00621726" w:rsidRPr="00DE692F" w:rsidRDefault="001652DA" w:rsidP="001B19B3">
      <w:p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Completar </w:t>
      </w:r>
      <w:r w:rsidR="009B3BC2" w:rsidRPr="00DE692F">
        <w:rPr>
          <w:rFonts w:asciiTheme="minorHAnsi" w:eastAsiaTheme="minorEastAsia" w:hAnsiTheme="minorHAnsi" w:cstheme="minorHAnsi"/>
          <w:sz w:val="20"/>
          <w:szCs w:val="20"/>
        </w:rPr>
        <w:t xml:space="preserve">la </w:t>
      </w:r>
      <w:r w:rsidR="00621726" w:rsidRPr="00DE692F">
        <w:rPr>
          <w:rFonts w:asciiTheme="minorHAnsi" w:eastAsiaTheme="minorEastAsia" w:hAnsiTheme="minorHAnsi" w:cstheme="minorHAnsi"/>
          <w:sz w:val="20"/>
          <w:szCs w:val="20"/>
        </w:rPr>
        <w:t>matriz siguiendo estos pasos:</w:t>
      </w:r>
    </w:p>
    <w:p w14:paraId="70398A39" w14:textId="06C8AB97" w:rsidR="00621726" w:rsidRPr="00DE692F" w:rsidRDefault="00621726" w:rsidP="00621726">
      <w:pPr>
        <w:pStyle w:val="Prrafodelista"/>
        <w:numPr>
          <w:ilvl w:val="0"/>
          <w:numId w:val="22"/>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Paso 1: Completar con la información de la </w:t>
      </w:r>
      <w:r w:rsidR="00CD587E" w:rsidRPr="00DE692F">
        <w:rPr>
          <w:rFonts w:asciiTheme="minorHAnsi" w:eastAsiaTheme="minorEastAsia" w:hAnsiTheme="minorHAnsi" w:cstheme="minorHAnsi"/>
          <w:sz w:val="20"/>
          <w:szCs w:val="20"/>
        </w:rPr>
        <w:t xml:space="preserve">Matriz de Riesgos anexa al </w:t>
      </w:r>
      <w:r w:rsidRPr="00DE692F">
        <w:rPr>
          <w:rFonts w:asciiTheme="minorHAnsi" w:eastAsiaTheme="minorEastAsia" w:hAnsiTheme="minorHAnsi" w:cstheme="minorHAnsi"/>
          <w:sz w:val="20"/>
          <w:szCs w:val="20"/>
        </w:rPr>
        <w:t>documento del proyect</w:t>
      </w:r>
      <w:r w:rsidR="00CD587E" w:rsidRPr="00DE692F">
        <w:rPr>
          <w:rFonts w:asciiTheme="minorHAnsi" w:eastAsiaTheme="minorEastAsia" w:hAnsiTheme="minorHAnsi" w:cstheme="minorHAnsi"/>
          <w:sz w:val="20"/>
          <w:szCs w:val="20"/>
        </w:rPr>
        <w:t xml:space="preserve">o. Actualizar, de ser necesario, </w:t>
      </w:r>
      <w:r w:rsidRPr="00DE692F">
        <w:rPr>
          <w:rFonts w:asciiTheme="minorHAnsi" w:eastAsiaTheme="minorEastAsia" w:hAnsiTheme="minorHAnsi" w:cstheme="minorHAnsi"/>
          <w:sz w:val="20"/>
          <w:szCs w:val="20"/>
        </w:rPr>
        <w:t>las columnas resaltadas de verde.</w:t>
      </w:r>
    </w:p>
    <w:p w14:paraId="6DD3DCDB" w14:textId="77777777" w:rsidR="000323EB" w:rsidRPr="00DE692F" w:rsidRDefault="00621726" w:rsidP="001B19B3">
      <w:pPr>
        <w:pStyle w:val="Prrafodelista"/>
        <w:numPr>
          <w:ilvl w:val="0"/>
          <w:numId w:val="22"/>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Paso 2: Adicionar </w:t>
      </w:r>
      <w:r w:rsidR="00CD587E" w:rsidRPr="00DE692F">
        <w:rPr>
          <w:rFonts w:asciiTheme="minorHAnsi" w:eastAsiaTheme="minorEastAsia" w:hAnsiTheme="minorHAnsi" w:cstheme="minorHAnsi"/>
          <w:sz w:val="20"/>
          <w:szCs w:val="20"/>
        </w:rPr>
        <w:t xml:space="preserve">al cuadro </w:t>
      </w:r>
      <w:r w:rsidRPr="00DE692F">
        <w:rPr>
          <w:rFonts w:asciiTheme="minorHAnsi" w:eastAsiaTheme="minorEastAsia" w:hAnsiTheme="minorHAnsi" w:cstheme="minorHAnsi"/>
          <w:sz w:val="20"/>
          <w:szCs w:val="20"/>
        </w:rPr>
        <w:t>cualquier evento nuevo que pueda significar un riesgo nuevo para el proyecto. Inclu</w:t>
      </w:r>
      <w:r w:rsidR="000323EB" w:rsidRPr="00DE692F">
        <w:rPr>
          <w:rFonts w:asciiTheme="minorHAnsi" w:eastAsiaTheme="minorEastAsia" w:hAnsiTheme="minorHAnsi" w:cstheme="minorHAnsi"/>
          <w:sz w:val="20"/>
          <w:szCs w:val="20"/>
        </w:rPr>
        <w:t xml:space="preserve">ir: </w:t>
      </w:r>
    </w:p>
    <w:p w14:paraId="3F3DCF73" w14:textId="77777777" w:rsidR="000323EB" w:rsidRPr="00DE692F" w:rsidRDefault="000323EB" w:rsidP="000323EB">
      <w:pPr>
        <w:pStyle w:val="Prrafodelista"/>
        <w:numPr>
          <w:ilvl w:val="0"/>
          <w:numId w:val="24"/>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R</w:t>
      </w:r>
      <w:r w:rsidR="00621726" w:rsidRPr="00DE692F">
        <w:rPr>
          <w:rFonts w:asciiTheme="minorHAnsi" w:eastAsiaTheme="minorEastAsia" w:hAnsiTheme="minorHAnsi" w:cstheme="minorHAnsi"/>
          <w:sz w:val="20"/>
          <w:szCs w:val="20"/>
        </w:rPr>
        <w:t>iesgos identificados en el entorno</w:t>
      </w:r>
    </w:p>
    <w:p w14:paraId="373B4E18" w14:textId="196FBCFE" w:rsidR="00336923" w:rsidRPr="00DE692F" w:rsidRDefault="00F92DD2" w:rsidP="000323EB">
      <w:pPr>
        <w:pStyle w:val="Prrafodelista"/>
        <w:numPr>
          <w:ilvl w:val="0"/>
          <w:numId w:val="24"/>
        </w:numPr>
        <w:rPr>
          <w:rFonts w:asciiTheme="minorHAnsi" w:eastAsiaTheme="minorEastAsia" w:hAnsiTheme="minorHAnsi" w:cstheme="minorHAnsi"/>
          <w:sz w:val="20"/>
          <w:szCs w:val="20"/>
        </w:rPr>
      </w:pPr>
      <w:r w:rsidRPr="00DE692F">
        <w:rPr>
          <w:rFonts w:asciiTheme="minorHAnsi" w:eastAsiaTheme="minorEastAsia" w:hAnsiTheme="minorHAnsi" w:cstheme="minorHAnsi"/>
          <w:sz w:val="20"/>
          <w:szCs w:val="20"/>
        </w:rPr>
        <w:t xml:space="preserve">Riesgos identificados en el </w:t>
      </w:r>
      <w:r w:rsidR="00621726" w:rsidRPr="00DE692F">
        <w:rPr>
          <w:rFonts w:asciiTheme="minorHAnsi" w:eastAsiaTheme="minorEastAsia" w:hAnsiTheme="minorHAnsi" w:cstheme="minorHAnsi"/>
          <w:sz w:val="20"/>
          <w:szCs w:val="20"/>
        </w:rPr>
        <w:t>SESP y</w:t>
      </w:r>
      <w:r w:rsidR="00E34F4C" w:rsidRPr="00DE692F">
        <w:rPr>
          <w:rFonts w:asciiTheme="minorHAnsi" w:eastAsiaTheme="minorEastAsia" w:hAnsiTheme="minorHAnsi" w:cstheme="minorHAnsi"/>
          <w:sz w:val="20"/>
          <w:szCs w:val="20"/>
        </w:rPr>
        <w:t>/o</w:t>
      </w:r>
      <w:r w:rsidRPr="00DE692F">
        <w:rPr>
          <w:rFonts w:asciiTheme="minorHAnsi" w:eastAsiaTheme="minorEastAsia" w:hAnsiTheme="minorHAnsi" w:cstheme="minorHAnsi"/>
          <w:sz w:val="20"/>
          <w:szCs w:val="20"/>
        </w:rPr>
        <w:t xml:space="preserve"> </w:t>
      </w:r>
      <w:r w:rsidR="00621726" w:rsidRPr="00DE692F">
        <w:rPr>
          <w:rFonts w:asciiTheme="minorHAnsi" w:eastAsiaTheme="minorEastAsia" w:hAnsiTheme="minorHAnsi" w:cstheme="minorHAnsi"/>
          <w:sz w:val="20"/>
          <w:szCs w:val="20"/>
        </w:rPr>
        <w:t>QA realizado</w:t>
      </w:r>
      <w:r w:rsidR="00E34F4C" w:rsidRPr="00DE692F">
        <w:rPr>
          <w:rFonts w:asciiTheme="minorHAnsi" w:eastAsiaTheme="minorEastAsia" w:hAnsiTheme="minorHAnsi" w:cstheme="minorHAnsi"/>
          <w:sz w:val="20"/>
          <w:szCs w:val="20"/>
        </w:rPr>
        <w:t>s</w:t>
      </w:r>
      <w:r w:rsidR="00621726" w:rsidRPr="00DE692F">
        <w:rPr>
          <w:rFonts w:asciiTheme="minorHAnsi" w:eastAsiaTheme="minorEastAsia" w:hAnsiTheme="minorHAnsi" w:cstheme="minorHAnsi"/>
          <w:sz w:val="20"/>
          <w:szCs w:val="20"/>
        </w:rPr>
        <w:t xml:space="preserve"> desde el último informe.</w:t>
      </w:r>
    </w:p>
    <w:tbl>
      <w:tblPr>
        <w:tblpPr w:leftFromText="180" w:rightFromText="180" w:vertAnchor="text" w:tblpX="-385" w:tblpY="1"/>
        <w:tblW w:w="15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1875"/>
        <w:gridCol w:w="2010"/>
        <w:gridCol w:w="1635"/>
        <w:gridCol w:w="1305"/>
        <w:gridCol w:w="1305"/>
        <w:gridCol w:w="1365"/>
        <w:gridCol w:w="1215"/>
        <w:gridCol w:w="1200"/>
        <w:gridCol w:w="1230"/>
        <w:gridCol w:w="1665"/>
      </w:tblGrid>
      <w:tr w:rsidR="00973680" w:rsidRPr="00DE692F" w14:paraId="60B21C92" w14:textId="77777777" w:rsidTr="001F5831">
        <w:trPr>
          <w:tblHeader/>
        </w:trPr>
        <w:tc>
          <w:tcPr>
            <w:tcW w:w="570" w:type="dxa"/>
            <w:shd w:val="clear" w:color="auto" w:fill="FFCC00"/>
            <w:vAlign w:val="center"/>
          </w:tcPr>
          <w:p w14:paraId="464F905D" w14:textId="77777777" w:rsidR="00973680" w:rsidRPr="00DE692F" w:rsidRDefault="00973680" w:rsidP="001F5831">
            <w:pPr>
              <w:spacing w:before="40" w:after="40"/>
              <w:rPr>
                <w:rFonts w:ascii="Arial Narrow" w:eastAsia="Arial Narrow" w:hAnsi="Arial Narrow" w:cs="Arial Narrow"/>
                <w:b/>
                <w:sz w:val="20"/>
                <w:szCs w:val="20"/>
              </w:rPr>
            </w:pPr>
            <w:r w:rsidRPr="00DE692F">
              <w:rPr>
                <w:rFonts w:ascii="Arial Narrow" w:eastAsia="Arial Narrow" w:hAnsi="Arial Narrow" w:cs="Arial Narrow"/>
                <w:b/>
                <w:sz w:val="20"/>
                <w:szCs w:val="20"/>
              </w:rPr>
              <w:t>#</w:t>
            </w:r>
          </w:p>
        </w:tc>
        <w:tc>
          <w:tcPr>
            <w:tcW w:w="1875" w:type="dxa"/>
            <w:shd w:val="clear" w:color="auto" w:fill="FFCC00"/>
            <w:vAlign w:val="center"/>
          </w:tcPr>
          <w:p w14:paraId="7562266F"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Evento</w:t>
            </w:r>
            <w:r w:rsidRPr="00DE692F">
              <w:rPr>
                <w:b/>
                <w:sz w:val="20"/>
                <w:szCs w:val="20"/>
                <w:vertAlign w:val="superscript"/>
              </w:rPr>
              <w:footnoteReference w:id="37"/>
            </w:r>
          </w:p>
        </w:tc>
        <w:tc>
          <w:tcPr>
            <w:tcW w:w="2010" w:type="dxa"/>
            <w:shd w:val="clear" w:color="auto" w:fill="FFCC00"/>
            <w:vAlign w:val="center"/>
          </w:tcPr>
          <w:p w14:paraId="51696AAE"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Causa</w:t>
            </w:r>
          </w:p>
        </w:tc>
        <w:tc>
          <w:tcPr>
            <w:tcW w:w="1635" w:type="dxa"/>
            <w:shd w:val="clear" w:color="auto" w:fill="FFCC00"/>
            <w:vAlign w:val="center"/>
          </w:tcPr>
          <w:p w14:paraId="542E86E0"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Impacto(s)</w:t>
            </w:r>
            <w:r w:rsidRPr="00DE692F">
              <w:rPr>
                <w:b/>
                <w:sz w:val="20"/>
                <w:szCs w:val="20"/>
                <w:vertAlign w:val="superscript"/>
              </w:rPr>
              <w:footnoteReference w:id="38"/>
            </w:r>
          </w:p>
        </w:tc>
        <w:tc>
          <w:tcPr>
            <w:tcW w:w="1305" w:type="dxa"/>
            <w:shd w:val="clear" w:color="auto" w:fill="FFCC00"/>
            <w:vAlign w:val="center"/>
          </w:tcPr>
          <w:p w14:paraId="17F92E46"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Categoría y subcategorías de riesgos</w:t>
            </w:r>
            <w:r w:rsidRPr="00DE692F">
              <w:rPr>
                <w:b/>
                <w:sz w:val="20"/>
                <w:szCs w:val="20"/>
                <w:vertAlign w:val="superscript"/>
              </w:rPr>
              <w:footnoteReference w:id="39"/>
            </w:r>
          </w:p>
        </w:tc>
        <w:tc>
          <w:tcPr>
            <w:tcW w:w="1305" w:type="dxa"/>
            <w:shd w:val="clear" w:color="auto" w:fill="FFCC00"/>
            <w:vAlign w:val="center"/>
          </w:tcPr>
          <w:p w14:paraId="4D70E050" w14:textId="77777777" w:rsidR="00973680" w:rsidRPr="00DE692F" w:rsidRDefault="00973680" w:rsidP="001F5831">
            <w:pPr>
              <w:spacing w:before="40" w:after="40"/>
              <w:ind w:left="-117" w:right="-10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Nivel de impacto, probabilidad y nivel de riesgo</w:t>
            </w:r>
          </w:p>
          <w:p w14:paraId="7E5A2F55" w14:textId="77777777" w:rsidR="00973680" w:rsidRPr="00DE692F" w:rsidRDefault="00973680" w:rsidP="001F5831">
            <w:pPr>
              <w:spacing w:before="40" w:after="40"/>
              <w:ind w:left="-117" w:right="-100"/>
              <w:rPr>
                <w:rFonts w:ascii="Arial Narrow" w:eastAsia="Arial Narrow" w:hAnsi="Arial Narrow" w:cs="Arial Narrow"/>
                <w:i/>
                <w:sz w:val="20"/>
                <w:szCs w:val="20"/>
              </w:rPr>
            </w:pPr>
          </w:p>
        </w:tc>
        <w:tc>
          <w:tcPr>
            <w:tcW w:w="1365" w:type="dxa"/>
            <w:shd w:val="clear" w:color="auto" w:fill="FFCC00"/>
            <w:vAlign w:val="center"/>
          </w:tcPr>
          <w:p w14:paraId="64D6BAA6"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Riesgo válido desde/hasta</w:t>
            </w:r>
          </w:p>
        </w:tc>
        <w:tc>
          <w:tcPr>
            <w:tcW w:w="1215" w:type="dxa"/>
            <w:shd w:val="clear" w:color="auto" w:fill="FFCC00"/>
            <w:vAlign w:val="center"/>
          </w:tcPr>
          <w:p w14:paraId="1CC36C5E"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Responsable del riesgo</w:t>
            </w:r>
          </w:p>
        </w:tc>
        <w:tc>
          <w:tcPr>
            <w:tcW w:w="1200" w:type="dxa"/>
            <w:shd w:val="clear" w:color="auto" w:fill="FFCC00"/>
            <w:vAlign w:val="center"/>
          </w:tcPr>
          <w:p w14:paraId="10210182" w14:textId="77777777" w:rsidR="00973680" w:rsidRPr="00DE692F" w:rsidRDefault="00973680" w:rsidP="001F5831">
            <w:pPr>
              <w:spacing w:before="40" w:after="40"/>
              <w:jc w:val="center"/>
              <w:rPr>
                <w:rFonts w:ascii="Arial Narrow" w:eastAsia="Arial Narrow" w:hAnsi="Arial Narrow" w:cs="Arial Narrow"/>
                <w:i/>
                <w:sz w:val="20"/>
                <w:szCs w:val="20"/>
              </w:rPr>
            </w:pPr>
            <w:r w:rsidRPr="00DE692F">
              <w:rPr>
                <w:rFonts w:ascii="Arial Narrow" w:eastAsia="Arial Narrow" w:hAnsi="Arial Narrow" w:cs="Arial Narrow"/>
                <w:b/>
                <w:sz w:val="20"/>
                <w:szCs w:val="20"/>
              </w:rPr>
              <w:t>Tratamiento del riesgo y responsable del tratamiento del riesgo</w:t>
            </w:r>
          </w:p>
        </w:tc>
        <w:tc>
          <w:tcPr>
            <w:tcW w:w="1230" w:type="dxa"/>
            <w:shd w:val="clear" w:color="auto" w:fill="FFCC00"/>
            <w:vAlign w:val="center"/>
          </w:tcPr>
          <w:p w14:paraId="5D4383E9"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Estatus de escalamiento del riesgo</w:t>
            </w:r>
            <w:r w:rsidRPr="00DE692F">
              <w:rPr>
                <w:b/>
                <w:sz w:val="20"/>
                <w:szCs w:val="20"/>
                <w:vertAlign w:val="superscript"/>
              </w:rPr>
              <w:footnoteReference w:id="40"/>
            </w:r>
          </w:p>
        </w:tc>
        <w:tc>
          <w:tcPr>
            <w:tcW w:w="1665" w:type="dxa"/>
            <w:shd w:val="clear" w:color="auto" w:fill="FFCC00"/>
            <w:vAlign w:val="center"/>
          </w:tcPr>
          <w:p w14:paraId="02285784" w14:textId="77777777" w:rsidR="00973680" w:rsidRPr="00DE692F" w:rsidRDefault="00973680" w:rsidP="001F5831">
            <w:pPr>
              <w:spacing w:before="40" w:after="40"/>
              <w:jc w:val="center"/>
              <w:rPr>
                <w:rFonts w:ascii="Arial Narrow" w:eastAsia="Arial Narrow" w:hAnsi="Arial Narrow" w:cs="Arial Narrow"/>
                <w:b/>
                <w:sz w:val="20"/>
                <w:szCs w:val="20"/>
              </w:rPr>
            </w:pPr>
            <w:r w:rsidRPr="00DE692F">
              <w:rPr>
                <w:rFonts w:ascii="Arial Narrow" w:eastAsia="Arial Narrow" w:hAnsi="Arial Narrow" w:cs="Arial Narrow"/>
                <w:b/>
                <w:sz w:val="20"/>
                <w:szCs w:val="20"/>
              </w:rPr>
              <w:t>Comentarios</w:t>
            </w:r>
          </w:p>
        </w:tc>
      </w:tr>
      <w:tr w:rsidR="00973680" w:rsidRPr="00DE692F" w14:paraId="53F9B90B" w14:textId="77777777" w:rsidTr="001F5831">
        <w:trPr>
          <w:trHeight w:val="860"/>
        </w:trPr>
        <w:tc>
          <w:tcPr>
            <w:tcW w:w="570" w:type="dxa"/>
            <w:vMerge w:val="restart"/>
            <w:vAlign w:val="center"/>
          </w:tcPr>
          <w:p w14:paraId="2BFF010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1</w:t>
            </w:r>
          </w:p>
        </w:tc>
        <w:tc>
          <w:tcPr>
            <w:tcW w:w="1875" w:type="dxa"/>
            <w:vMerge w:val="restart"/>
            <w:vAlign w:val="center"/>
          </w:tcPr>
          <w:p w14:paraId="70D7614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Algunos grupos vulnerables (mujeres, pueblos indígenas y mujeres) pueden tener una participación marginal en la ejecución del proyecto y no pueden plantear inquietudes o beneficiarse sobre el mismo, lo que originaria Quejas.                                                                                                                                                                                                                                                         </w:t>
            </w:r>
            <w:r w:rsidRPr="00DE692F">
              <w:rPr>
                <w:rFonts w:ascii="Arial Narrow" w:eastAsia="Arial Narrow" w:hAnsi="Arial Narrow" w:cs="Arial Narrow"/>
                <w:sz w:val="18"/>
                <w:szCs w:val="18"/>
              </w:rPr>
              <w:t xml:space="preserve">* marginal (falta de participación de los espacios de decisión y beneficios, carecen de </w:t>
            </w:r>
            <w:r w:rsidRPr="00DE692F">
              <w:rPr>
                <w:rFonts w:ascii="Arial Narrow" w:eastAsia="Arial Narrow" w:hAnsi="Arial Narrow" w:cs="Arial Narrow"/>
                <w:sz w:val="18"/>
                <w:szCs w:val="18"/>
              </w:rPr>
              <w:lastRenderedPageBreak/>
              <w:t>integración interna y no pueden superar su condición por sí mismos. Marginal entiéndase como al margen, una cuestión secundaria, actúa fuera de las normas sociales admitidas.</w:t>
            </w:r>
          </w:p>
        </w:tc>
        <w:tc>
          <w:tcPr>
            <w:tcW w:w="2010" w:type="dxa"/>
            <w:vMerge w:val="restart"/>
            <w:vAlign w:val="center"/>
          </w:tcPr>
          <w:p w14:paraId="11BBC4AD"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Algunos grupos vulnerables (mujeres, pueblos indígenas y mujeres) pueden tener una participación marginal en la ejecución del proyecto y no pueden plantear inquietudes o beneficiarse sobre el mismo, lo que originaría quejas.</w:t>
            </w:r>
          </w:p>
        </w:tc>
        <w:tc>
          <w:tcPr>
            <w:tcW w:w="1635" w:type="dxa"/>
            <w:vMerge w:val="restart"/>
            <w:vAlign w:val="center"/>
          </w:tcPr>
          <w:p w14:paraId="6B74D944"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consecuencia, no pueden apoyar las actividades ni beneficiarse de ellas. </w:t>
            </w:r>
          </w:p>
          <w:p w14:paraId="7CBFFD49"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Esto podría dar lugar a quejas contra el proyecto.</w:t>
            </w:r>
          </w:p>
        </w:tc>
        <w:tc>
          <w:tcPr>
            <w:tcW w:w="1305" w:type="dxa"/>
            <w:vMerge w:val="restart"/>
            <w:vAlign w:val="center"/>
          </w:tcPr>
          <w:p w14:paraId="6C64D5D3"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Sub 1.1, 1.2, 1.3, 1.9, 1.12</w:t>
            </w:r>
          </w:p>
        </w:tc>
        <w:tc>
          <w:tcPr>
            <w:tcW w:w="1305" w:type="dxa"/>
            <w:vAlign w:val="center"/>
          </w:tcPr>
          <w:p w14:paraId="736BE6A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w:t>
            </w:r>
            <w:r w:rsidRPr="00DE692F">
              <w:rPr>
                <w:sz w:val="20"/>
                <w:szCs w:val="20"/>
                <w:vertAlign w:val="superscript"/>
              </w:rPr>
              <w:footnoteReference w:id="41"/>
            </w:r>
            <w:r w:rsidRPr="00DE692F">
              <w:rPr>
                <w:rFonts w:ascii="Arial Narrow" w:eastAsia="Arial Narrow" w:hAnsi="Arial Narrow" w:cs="Arial Narrow"/>
                <w:sz w:val="20"/>
                <w:szCs w:val="20"/>
              </w:rPr>
              <w:t>: 3</w:t>
            </w:r>
          </w:p>
        </w:tc>
        <w:tc>
          <w:tcPr>
            <w:tcW w:w="1365" w:type="dxa"/>
            <w:vMerge w:val="restart"/>
            <w:vAlign w:val="center"/>
          </w:tcPr>
          <w:p w14:paraId="0D7D71C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2082038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UGP del proyecto </w:t>
            </w:r>
          </w:p>
        </w:tc>
        <w:tc>
          <w:tcPr>
            <w:tcW w:w="1200" w:type="dxa"/>
            <w:vMerge w:val="restart"/>
            <w:vAlign w:val="center"/>
          </w:tcPr>
          <w:p w14:paraId="36CD5883"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Tratamiento del riesgo 1: </w:t>
            </w:r>
          </w:p>
          <w:p w14:paraId="7EC95B99"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llevaron a cabo 4 talleres de inicio del proyecto en Lima y en las regiones de San Martín, Cajamarca y Amazonas en la que se recogieron aportes y </w:t>
            </w:r>
            <w:r w:rsidRPr="00DE692F">
              <w:rPr>
                <w:rFonts w:ascii="Arial Narrow" w:eastAsia="Arial Narrow" w:hAnsi="Arial Narrow" w:cs="Arial Narrow"/>
                <w:sz w:val="20"/>
                <w:szCs w:val="20"/>
              </w:rPr>
              <w:lastRenderedPageBreak/>
              <w:t>sugerencias en relación a los diferentes componentes; así mismo se realizaron trabajos grupales a fin de poder realizar una calificación de los riesgos sociales y ambientales de las salvaguardas.</w:t>
            </w:r>
          </w:p>
          <w:p w14:paraId="0DCBFDC3" w14:textId="5019F675"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Actualmente se cuenta con un Análisis de riesgos sociales y ambientales y medidas de mitigación actualizados considerando el marco de resultados modificado; así mismo, se cuenta con la actualización de los </w:t>
            </w:r>
            <w:r w:rsidRPr="00DE692F">
              <w:rPr>
                <w:rFonts w:ascii="Arial Narrow" w:eastAsia="Arial Narrow" w:hAnsi="Arial Narrow" w:cs="Arial Narrow"/>
                <w:sz w:val="20"/>
                <w:szCs w:val="20"/>
              </w:rPr>
              <w:lastRenderedPageBreak/>
              <w:t>actores, SEP</w:t>
            </w:r>
            <w:r w:rsidR="00E778FA" w:rsidRPr="00DE692F">
              <w:rPr>
                <w:rFonts w:ascii="Arial Narrow" w:eastAsia="Arial Narrow" w:hAnsi="Arial Narrow" w:cs="Arial Narrow"/>
                <w:sz w:val="20"/>
                <w:szCs w:val="20"/>
              </w:rPr>
              <w:t>, actualizado a la fecha.</w:t>
            </w:r>
          </w:p>
          <w:p w14:paraId="65D2DB02"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 elaborado una versión preliminar del Plan de acción para Pueblos Indígenas para revisión que luego será adaptado al </w:t>
            </w:r>
            <w:r w:rsidRPr="00DE692F">
              <w:rPr>
                <w:rFonts w:ascii="Arial Narrow" w:eastAsia="Arial Narrow" w:hAnsi="Arial Narrow" w:cs="Arial Narrow"/>
                <w:i/>
                <w:iCs/>
                <w:sz w:val="20"/>
                <w:szCs w:val="20"/>
              </w:rPr>
              <w:t>template</w:t>
            </w:r>
            <w:r w:rsidRPr="00DE692F">
              <w:rPr>
                <w:rFonts w:ascii="Arial Narrow" w:eastAsia="Arial Narrow" w:hAnsi="Arial Narrow" w:cs="Arial Narrow"/>
                <w:sz w:val="20"/>
                <w:szCs w:val="20"/>
              </w:rPr>
              <w:t xml:space="preserve"> de PNUD.</w:t>
            </w:r>
          </w:p>
          <w:p w14:paraId="1ADFF066" w14:textId="519A86FC" w:rsidR="00E778FA" w:rsidRPr="00DE692F" w:rsidRDefault="00E778FA"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 conformado el Grupo de trabajo de pueblos Indígenas durante el 2025 y cuenta con la participación de los líderes de CONAP, ORDEPIAA, ANECAP, ECA Chayu Nain, CORPI SL y </w:t>
            </w:r>
            <w:r w:rsidRPr="00DE692F">
              <w:rPr>
                <w:rFonts w:ascii="Arial Narrow" w:eastAsia="Arial Narrow" w:hAnsi="Arial Narrow" w:cs="Arial Narrow"/>
                <w:sz w:val="20"/>
                <w:szCs w:val="20"/>
              </w:rPr>
              <w:lastRenderedPageBreak/>
              <w:t>CODEPISAM.</w:t>
            </w:r>
          </w:p>
          <w:p w14:paraId="6528CC44"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Se cuenta con una estrategia para la implementación del Mecanismo de Reparación de Reclamos. GRM, enviado para revisión.</w:t>
            </w:r>
          </w:p>
          <w:p w14:paraId="2266D71F" w14:textId="0338C90F" w:rsidR="00E778FA" w:rsidRPr="00DE692F" w:rsidRDefault="00E778FA"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Actualmente el Mecanismo está funcionando. A la fecha se han recibido y resuelto 2 quejas en los plazos previstos.</w:t>
            </w:r>
          </w:p>
          <w:p w14:paraId="2AE2F2AC" w14:textId="768816A8" w:rsidR="00E778FA" w:rsidRPr="00DE692F" w:rsidRDefault="00E778FA" w:rsidP="00E778FA">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han realizado inducciones sobre salvaguardas sociales y ambientales dirigido a  </w:t>
            </w:r>
            <w:r w:rsidRPr="00DE692F">
              <w:rPr>
                <w:rFonts w:ascii="Arial Narrow" w:eastAsia="Arial Narrow" w:hAnsi="Arial Narrow" w:cs="Arial Narrow"/>
                <w:sz w:val="20"/>
                <w:szCs w:val="20"/>
              </w:rPr>
              <w:lastRenderedPageBreak/>
              <w:t>consultores/as</w:t>
            </w:r>
            <w:r w:rsidRPr="00DE692F">
              <w:t xml:space="preserve"> </w:t>
            </w:r>
            <w:r w:rsidRPr="00DE692F">
              <w:rPr>
                <w:rFonts w:ascii="Arial Narrow" w:eastAsia="Arial Narrow" w:hAnsi="Arial Narrow" w:cs="Arial Narrow"/>
                <w:sz w:val="20"/>
                <w:szCs w:val="20"/>
              </w:rPr>
              <w:t>y empresas que brindan algún servicio al Proyecto Folur.</w:t>
            </w:r>
          </w:p>
          <w:p w14:paraId="47A0088F" w14:textId="026623A2" w:rsidR="00E778FA" w:rsidRPr="00DE692F" w:rsidRDefault="00E778FA" w:rsidP="00E778FA">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Actualmente se ha elaborado la metodología y todos los insumos para la instalación del grupo de trabajo de Pueblos Indígenas.</w:t>
            </w:r>
          </w:p>
          <w:p w14:paraId="69314629" w14:textId="77777777" w:rsidR="00973680" w:rsidRPr="00DE692F" w:rsidRDefault="00973680" w:rsidP="001F5831">
            <w:pPr>
              <w:spacing w:after="0"/>
              <w:rPr>
                <w:rFonts w:ascii="Arial Narrow" w:eastAsia="Arial Narrow" w:hAnsi="Arial Narrow" w:cs="Arial Narrow"/>
                <w:sz w:val="20"/>
                <w:szCs w:val="20"/>
                <w:highlight w:val="yellow"/>
              </w:rPr>
            </w:pPr>
          </w:p>
          <w:p w14:paraId="225D7D98"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77A7FCD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029CC9E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Diagnóstico identifica: "carencias" en la participación, acceso a beneficios y preocupación DDHH en torno a la palma. Mujeres / brechas de género participación, no se visibiliza la participación de Mujeres en cadenas de valor del cacao, café y palma (se suma </w:t>
            </w:r>
            <w:r w:rsidRPr="00DE692F">
              <w:rPr>
                <w:rFonts w:ascii="Arial Narrow" w:eastAsia="Arial Narrow" w:hAnsi="Arial Narrow" w:cs="Arial Narrow"/>
                <w:sz w:val="20"/>
                <w:szCs w:val="20"/>
              </w:rPr>
              <w:lastRenderedPageBreak/>
              <w:t>brechas alfabetización y tecnología digital y financieras de M) Pueblos Indígenas/ escasa participación en la cadena de valor del cacao, café y palma (Asociado a un menor conocimiento y prácticas de los estándares del mercado) (se suma brechas alfabetización y tecnología digital y financiera). Jóvenes/acceso limitado o nulo a tierras, menos oportunidades de empleo, migración.</w:t>
            </w:r>
          </w:p>
        </w:tc>
      </w:tr>
      <w:tr w:rsidR="00973680" w:rsidRPr="00DE692F" w14:paraId="46A7DE26" w14:textId="77777777" w:rsidTr="001F5831">
        <w:tc>
          <w:tcPr>
            <w:tcW w:w="570" w:type="dxa"/>
            <w:vMerge/>
            <w:vAlign w:val="center"/>
          </w:tcPr>
          <w:p w14:paraId="2E3CC1F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6BE967C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743F620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EA1C3C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5EE0532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5EE3D3CA"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w:t>
            </w:r>
            <w:r w:rsidRPr="00DE692F">
              <w:rPr>
                <w:sz w:val="20"/>
                <w:szCs w:val="20"/>
                <w:vertAlign w:val="superscript"/>
              </w:rPr>
              <w:footnoteReference w:id="42"/>
            </w:r>
            <w:r w:rsidRPr="00DE692F">
              <w:rPr>
                <w:rFonts w:ascii="Arial Narrow" w:eastAsia="Arial Narrow" w:hAnsi="Arial Narrow" w:cs="Arial Narrow"/>
                <w:sz w:val="20"/>
                <w:szCs w:val="20"/>
              </w:rPr>
              <w:t>: 3</w:t>
            </w:r>
          </w:p>
        </w:tc>
        <w:tc>
          <w:tcPr>
            <w:tcW w:w="1365" w:type="dxa"/>
            <w:vMerge/>
            <w:vAlign w:val="center"/>
          </w:tcPr>
          <w:p w14:paraId="6540E28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53FD97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7D879F4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6F70F5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5F1513D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6DDD6E84" w14:textId="77777777" w:rsidTr="001F5831">
        <w:trPr>
          <w:trHeight w:val="698"/>
        </w:trPr>
        <w:tc>
          <w:tcPr>
            <w:tcW w:w="570" w:type="dxa"/>
            <w:vMerge/>
            <w:vAlign w:val="center"/>
          </w:tcPr>
          <w:p w14:paraId="310241F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3EA9FC6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1A45849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77FC680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92F9FD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2314107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rPr>
                <w:sz w:val="20"/>
                <w:szCs w:val="20"/>
                <w:vertAlign w:val="superscript"/>
              </w:rPr>
              <w:footnoteReference w:id="43"/>
            </w:r>
            <w:r w:rsidRPr="00DE692F">
              <w:rPr>
                <w:rFonts w:ascii="Arial Narrow" w:eastAsia="Arial Narrow" w:hAnsi="Arial Narrow" w:cs="Arial Narrow"/>
                <w:sz w:val="20"/>
                <w:szCs w:val="20"/>
              </w:rPr>
              <w:t xml:space="preserve">: </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53C772E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258FD61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1A14355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144E814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2C154C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D63C553" w14:textId="77777777" w:rsidTr="001F5831">
        <w:trPr>
          <w:trHeight w:val="698"/>
        </w:trPr>
        <w:tc>
          <w:tcPr>
            <w:tcW w:w="570" w:type="dxa"/>
            <w:vMerge w:val="restart"/>
            <w:vAlign w:val="center"/>
          </w:tcPr>
          <w:p w14:paraId="62E5A83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2</w:t>
            </w:r>
          </w:p>
        </w:tc>
        <w:tc>
          <w:tcPr>
            <w:tcW w:w="1875" w:type="dxa"/>
            <w:vMerge w:val="restart"/>
            <w:vAlign w:val="center"/>
          </w:tcPr>
          <w:p w14:paraId="1F729C3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 posible que los gobiernos subnacionales, las asociaciones de pequeños productores y las plataformas de diálogo sobre commodities no tengan la capacidad de ejecutar las actividades del proyecto, garantizar la salud/seguridad de la </w:t>
            </w:r>
            <w:r w:rsidRPr="00DE692F">
              <w:rPr>
                <w:rFonts w:ascii="Arial Narrow" w:eastAsia="Arial Narrow" w:hAnsi="Arial Narrow" w:cs="Arial Narrow"/>
                <w:sz w:val="20"/>
                <w:szCs w:val="20"/>
              </w:rPr>
              <w:lastRenderedPageBreak/>
              <w:t>comunidad y/o supervisarlas con éxito. Esto afectaría a la comunidad, a la sostenibilidad del modelo CLD, y/o los productores podrían volver a prácticas insostenibles o a la transición a cultivos/actividades ilícitas.</w:t>
            </w:r>
          </w:p>
        </w:tc>
        <w:tc>
          <w:tcPr>
            <w:tcW w:w="2010" w:type="dxa"/>
            <w:vMerge w:val="restart"/>
            <w:vAlign w:val="center"/>
          </w:tcPr>
          <w:p w14:paraId="0AE0F01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Los gobiernos subnacionales, las asociaciones de pequeños productores y las plataformas de diálogo sobre commodities no tengan la capacidad de ejecutar las actividades del proyecto, garantizar la salud/seguridad de la comunidad y/o supervisarlas con éxito</w:t>
            </w:r>
          </w:p>
        </w:tc>
        <w:tc>
          <w:tcPr>
            <w:tcW w:w="1635" w:type="dxa"/>
            <w:vMerge w:val="restart"/>
            <w:vAlign w:val="center"/>
          </w:tcPr>
          <w:p w14:paraId="72663AC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Esto afectaría a la comunidad, a la sostenibilidad del modelo CLD, y/o los productores podrían volver a prácticas insostenibles o a la transición a cultivos/actividades ilícitas.</w:t>
            </w:r>
          </w:p>
        </w:tc>
        <w:tc>
          <w:tcPr>
            <w:tcW w:w="1305" w:type="dxa"/>
            <w:vMerge w:val="restart"/>
            <w:vAlign w:val="center"/>
          </w:tcPr>
          <w:p w14:paraId="56E8C6A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1.9</w:t>
            </w:r>
          </w:p>
        </w:tc>
        <w:tc>
          <w:tcPr>
            <w:tcW w:w="1305" w:type="dxa"/>
            <w:vAlign w:val="center"/>
          </w:tcPr>
          <w:p w14:paraId="3B197B3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5B97B2B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65AFB48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UGP del proyecto </w:t>
            </w:r>
          </w:p>
        </w:tc>
        <w:tc>
          <w:tcPr>
            <w:tcW w:w="1200" w:type="dxa"/>
            <w:vMerge w:val="restart"/>
            <w:vAlign w:val="center"/>
          </w:tcPr>
          <w:p w14:paraId="20AD72AA"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2:</w:t>
            </w:r>
          </w:p>
          <w:p w14:paraId="3914B282" w14:textId="77777777" w:rsidR="00973680" w:rsidRPr="00DE692F" w:rsidRDefault="00973680" w:rsidP="001F5831">
            <w:pPr>
              <w:spacing w:before="144" w:after="0"/>
              <w:rPr>
                <w:rFonts w:ascii="Arial Narrow" w:eastAsia="Arial Narrow" w:hAnsi="Arial Narrow" w:cs="Arial Narrow"/>
                <w:sz w:val="20"/>
                <w:szCs w:val="20"/>
              </w:rPr>
            </w:pPr>
          </w:p>
          <w:p w14:paraId="5DF43AEF" w14:textId="39183589" w:rsidR="00E778FA"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han realizado reuniones informativas sobre los Riesgos Sociales y Ambientales Sociales del </w:t>
            </w:r>
            <w:r w:rsidRPr="00DE692F">
              <w:rPr>
                <w:rFonts w:ascii="Arial Narrow" w:eastAsia="Arial Narrow" w:hAnsi="Arial Narrow" w:cs="Arial Narrow"/>
                <w:sz w:val="20"/>
                <w:szCs w:val="20"/>
              </w:rPr>
              <w:lastRenderedPageBreak/>
              <w:t xml:space="preserve">Proyecto con diferentes actores , paralelamente el equipo del Proyecto de la UGP la especialista de gestión del conocimientos ha desarrollado seis (6) diagnósticos de las mesas técnicas de café y cacao, para ello, ha elaborado entrevistas semi estructuradas considerando los enfoques de género, interculturalidad e intergeneracional, a fin de que este insumo permita desarrollar un plan de </w:t>
            </w:r>
            <w:r w:rsidRPr="00DE692F">
              <w:rPr>
                <w:rFonts w:ascii="Arial Narrow" w:eastAsia="Arial Narrow" w:hAnsi="Arial Narrow" w:cs="Arial Narrow"/>
                <w:sz w:val="20"/>
                <w:szCs w:val="20"/>
              </w:rPr>
              <w:lastRenderedPageBreak/>
              <w:t xml:space="preserve">trabajo con cada mesa técnica identificando su fortalezas y debilidades, aspectos que nos permitirá plantear una intervención que considere fortalecer las capacidades de las mesas técnicas en función de los resultados y contribuir  con la gobernanza de las mesas técnicas  y fortalecer capacidades para fortalecer las prácticas sostenibles, trazabilidad (empadronamiento, identidad digital), gobernanza, </w:t>
            </w:r>
            <w:r w:rsidRPr="00DE692F">
              <w:rPr>
                <w:rFonts w:ascii="Arial Narrow" w:eastAsia="Arial Narrow" w:hAnsi="Arial Narrow" w:cs="Arial Narrow"/>
                <w:sz w:val="20"/>
                <w:szCs w:val="20"/>
              </w:rPr>
              <w:lastRenderedPageBreak/>
              <w:t>fortalecimiento de capacidades, género, entre otros aspectos.</w:t>
            </w:r>
          </w:p>
          <w:p w14:paraId="27405E31" w14:textId="77777777" w:rsidR="00E778FA" w:rsidRPr="00DE692F" w:rsidRDefault="00E778FA" w:rsidP="001F5831">
            <w:pPr>
              <w:spacing w:before="144" w:after="0"/>
              <w:rPr>
                <w:rFonts w:ascii="Arial Narrow" w:eastAsia="Arial Narrow" w:hAnsi="Arial Narrow" w:cs="Arial Narrow"/>
                <w:sz w:val="20"/>
                <w:szCs w:val="20"/>
              </w:rPr>
            </w:pPr>
          </w:p>
          <w:p w14:paraId="28892730" w14:textId="0FB68C9C" w:rsidR="00973680" w:rsidRPr="00DE692F" w:rsidRDefault="00E778FA"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Actualmente el proyecto cuenta con planes de trabajo con las mesas técnicas.</w:t>
            </w:r>
          </w:p>
          <w:p w14:paraId="60B92047" w14:textId="77777777" w:rsidR="00E778FA" w:rsidRPr="00DE692F" w:rsidRDefault="00E778FA" w:rsidP="001F5831">
            <w:pPr>
              <w:spacing w:after="0"/>
              <w:rPr>
                <w:rFonts w:ascii="Arial Narrow" w:eastAsia="Arial Narrow" w:hAnsi="Arial Narrow" w:cs="Arial Narrow"/>
                <w:sz w:val="20"/>
                <w:szCs w:val="20"/>
              </w:rPr>
            </w:pPr>
          </w:p>
          <w:p w14:paraId="30B11995"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152F250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4CAB297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Las limitadas capacidades de las asociaciones de productores/as se ven reflejadas en su bajo nivel de asociatividad de pequeños productores/as, estas son más profundas en las Comunidades Nativas. (El PNA </w:t>
            </w:r>
            <w:r w:rsidRPr="00DE692F">
              <w:rPr>
                <w:rFonts w:ascii="Arial Narrow" w:eastAsia="Arial Narrow" w:hAnsi="Arial Narrow" w:cs="Arial Narrow"/>
                <w:sz w:val="20"/>
                <w:szCs w:val="20"/>
              </w:rPr>
              <w:lastRenderedPageBreak/>
              <w:t>Café 2018 destaca el aumento de la superficie agrícola y el aumento del cultivo ilegal de la hoja de coca, ambas representan la mitad de las emisiones del GEI, se descubrió (citan la versión de una persona sr. Salomón Awananch Wajush -ORPIAN) se descubrió que en Bagua (Amazonas) los Awajún han destruido y/o abandonado sus plantaciones de cacao y las han sustituido por cultivos de bambú y hoja de coca, además de instalar piscigranjas.</w:t>
            </w:r>
          </w:p>
        </w:tc>
      </w:tr>
      <w:tr w:rsidR="00973680" w:rsidRPr="00DE692F" w14:paraId="4CD7598E" w14:textId="77777777" w:rsidTr="001F5831">
        <w:trPr>
          <w:trHeight w:val="698"/>
        </w:trPr>
        <w:tc>
          <w:tcPr>
            <w:tcW w:w="570" w:type="dxa"/>
            <w:vMerge/>
            <w:vAlign w:val="center"/>
          </w:tcPr>
          <w:p w14:paraId="5795F95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2F8B3F9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0C128A0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E45D4A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17FD028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60561343"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3</w:t>
            </w:r>
          </w:p>
        </w:tc>
        <w:tc>
          <w:tcPr>
            <w:tcW w:w="1365" w:type="dxa"/>
            <w:vMerge/>
            <w:vAlign w:val="center"/>
          </w:tcPr>
          <w:p w14:paraId="612DC99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49C181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3555A4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C758F3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505068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6F04488C" w14:textId="77777777" w:rsidTr="001F5831">
        <w:trPr>
          <w:trHeight w:val="698"/>
        </w:trPr>
        <w:tc>
          <w:tcPr>
            <w:tcW w:w="570" w:type="dxa"/>
            <w:vMerge/>
            <w:vAlign w:val="center"/>
          </w:tcPr>
          <w:p w14:paraId="7C937C7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411BDAC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64A582A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C92F40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6CA8677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3961F8B"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0144CCC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4770810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212ACC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617A4AC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B94300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11072DB0" w14:textId="77777777" w:rsidTr="001F5831">
        <w:trPr>
          <w:trHeight w:val="698"/>
        </w:trPr>
        <w:tc>
          <w:tcPr>
            <w:tcW w:w="570" w:type="dxa"/>
            <w:vMerge w:val="restart"/>
            <w:vAlign w:val="center"/>
          </w:tcPr>
          <w:p w14:paraId="12601D4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3</w:t>
            </w:r>
          </w:p>
        </w:tc>
        <w:tc>
          <w:tcPr>
            <w:tcW w:w="1875" w:type="dxa"/>
            <w:vMerge w:val="restart"/>
            <w:vAlign w:val="center"/>
          </w:tcPr>
          <w:p w14:paraId="0C509899" w14:textId="43E16A0E" w:rsidR="00973680" w:rsidRPr="00DE692F" w:rsidRDefault="00F103A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Restricciones</w:t>
            </w:r>
            <w:r w:rsidR="00973680" w:rsidRPr="00DE692F">
              <w:rPr>
                <w:rFonts w:ascii="Arial Narrow" w:eastAsia="Arial Narrow" w:hAnsi="Arial Narrow" w:cs="Arial Narrow"/>
                <w:sz w:val="20"/>
                <w:szCs w:val="20"/>
              </w:rPr>
              <w:t xml:space="preserve"> </w:t>
            </w:r>
            <w:r w:rsidRPr="00DE692F">
              <w:rPr>
                <w:rFonts w:ascii="Arial Narrow" w:eastAsia="Arial Narrow" w:hAnsi="Arial Narrow" w:cs="Arial Narrow"/>
                <w:sz w:val="20"/>
                <w:szCs w:val="20"/>
              </w:rPr>
              <w:t>a</w:t>
            </w:r>
            <w:r w:rsidR="00973680" w:rsidRPr="00DE692F">
              <w:rPr>
                <w:rFonts w:ascii="Arial Narrow" w:eastAsia="Arial Narrow" w:hAnsi="Arial Narrow" w:cs="Arial Narrow"/>
                <w:sz w:val="20"/>
                <w:szCs w:val="20"/>
              </w:rPr>
              <w:t xml:space="preserve">l acceso a los recursos  de los grupos vulnerables y/o usuarios informales y podrían provocar cambios en los derechos de usufructo de la tierra y los recursos, afectando ANP, los territorios indígenas y/u otros BAVC dentro y fuera del área del proyecto, y podría provocar el desplazamiento </w:t>
            </w:r>
            <w:r w:rsidR="00973680" w:rsidRPr="00DE692F">
              <w:rPr>
                <w:rFonts w:ascii="Arial Narrow" w:eastAsia="Arial Narrow" w:hAnsi="Arial Narrow" w:cs="Arial Narrow"/>
                <w:sz w:val="20"/>
                <w:szCs w:val="20"/>
              </w:rPr>
              <w:lastRenderedPageBreak/>
              <w:t>económico de los pueblos afectados.</w:t>
            </w:r>
          </w:p>
        </w:tc>
        <w:tc>
          <w:tcPr>
            <w:tcW w:w="2010" w:type="dxa"/>
            <w:vMerge w:val="restart"/>
            <w:vAlign w:val="center"/>
          </w:tcPr>
          <w:p w14:paraId="0AFACA9A"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 xml:space="preserve">Mejoran las capacidades de las personas para lograr una gestión integral del territorio (GIT), así como la vigilancia y el seguimiento de la deforestación, ambos promovidos por la intervención del proyecto, podrían restringir el acceso a los recursos de los grupos vulnerables y/o usuarios informales y podrían provocar cambios en los derechos de usufructo </w:t>
            </w:r>
            <w:r w:rsidRPr="00DE692F">
              <w:rPr>
                <w:rFonts w:ascii="Arial Narrow" w:eastAsia="Arial Narrow" w:hAnsi="Arial Narrow" w:cs="Arial Narrow"/>
                <w:sz w:val="20"/>
                <w:szCs w:val="20"/>
              </w:rPr>
              <w:lastRenderedPageBreak/>
              <w:t>de la tierra y los recursos, afectando ANP, los territorios indígenas y/u otros BAVC dentro y fuera del área del proyecto</w:t>
            </w:r>
          </w:p>
        </w:tc>
        <w:tc>
          <w:tcPr>
            <w:tcW w:w="1635" w:type="dxa"/>
            <w:vMerge w:val="restart"/>
            <w:vAlign w:val="center"/>
          </w:tcPr>
          <w:p w14:paraId="523B1F1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Podría provocar cambios en los derechos de usufructo de la tierra y los recursos, afectando ANP, los territorios indígenas y/u otros BAVC dentro y fuera del área del proyecto, y podría provocar el desplazamiento económico de los pueblos afectados.</w:t>
            </w:r>
          </w:p>
        </w:tc>
        <w:tc>
          <w:tcPr>
            <w:tcW w:w="1305" w:type="dxa"/>
            <w:vMerge w:val="restart"/>
            <w:vAlign w:val="center"/>
          </w:tcPr>
          <w:p w14:paraId="412437C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1.1, 1.8, 1.9</w:t>
            </w:r>
          </w:p>
        </w:tc>
        <w:tc>
          <w:tcPr>
            <w:tcW w:w="1305" w:type="dxa"/>
            <w:vAlign w:val="center"/>
          </w:tcPr>
          <w:p w14:paraId="257BB9C3"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16922EB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01177AF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7CD48CE6" w14:textId="77777777" w:rsidR="00973680" w:rsidRPr="00DE692F" w:rsidRDefault="00973680" w:rsidP="001F5831">
            <w:pPr>
              <w:spacing w:before="144" w:after="0"/>
              <w:rPr>
                <w:rFonts w:ascii="Arial Narrow" w:eastAsia="Arial Narrow" w:hAnsi="Arial Narrow" w:cs="Arial Narrow"/>
                <w:sz w:val="20"/>
                <w:szCs w:val="20"/>
              </w:rPr>
            </w:pPr>
            <w:commentRangeStart w:id="0"/>
            <w:commentRangeStart w:id="1"/>
            <w:r w:rsidRPr="00DE692F">
              <w:rPr>
                <w:rFonts w:ascii="Arial Narrow" w:eastAsia="Arial Narrow" w:hAnsi="Arial Narrow" w:cs="Arial Narrow"/>
                <w:sz w:val="20"/>
                <w:szCs w:val="20"/>
              </w:rPr>
              <w:t xml:space="preserve">Tratamiento </w:t>
            </w:r>
            <w:commentRangeEnd w:id="0"/>
            <w:r w:rsidR="006968F0" w:rsidRPr="00DE692F">
              <w:rPr>
                <w:rStyle w:val="Refdecomentario"/>
                <w:rFonts w:ascii="Arial Narrow" w:eastAsia="Arial Narrow" w:hAnsi="Arial Narrow" w:cs="Arial Narrow"/>
                <w:sz w:val="20"/>
                <w:szCs w:val="20"/>
              </w:rPr>
              <w:commentReference w:id="0"/>
            </w:r>
            <w:commentRangeEnd w:id="1"/>
            <w:r w:rsidR="006739CE" w:rsidRPr="00DE692F">
              <w:rPr>
                <w:rStyle w:val="Refdecomentario"/>
                <w:rFonts w:ascii="Arial Narrow" w:eastAsia="Arial Narrow" w:hAnsi="Arial Narrow" w:cs="Arial Narrow"/>
                <w:sz w:val="20"/>
                <w:szCs w:val="20"/>
              </w:rPr>
              <w:commentReference w:id="1"/>
            </w:r>
            <w:r w:rsidRPr="00DE692F">
              <w:rPr>
                <w:rFonts w:ascii="Arial Narrow" w:eastAsia="Arial Narrow" w:hAnsi="Arial Narrow" w:cs="Arial Narrow"/>
                <w:sz w:val="20"/>
                <w:szCs w:val="20"/>
              </w:rPr>
              <w:t xml:space="preserve">del riesgo 3: Se elaboró un check list considerando los procedimientos CLPI para ser implementado. </w:t>
            </w:r>
          </w:p>
          <w:p w14:paraId="661FBB7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han realizado una breve Inducción sobre los Riesgos </w:t>
            </w:r>
            <w:r w:rsidRPr="00DE692F">
              <w:rPr>
                <w:rFonts w:ascii="Arial Narrow" w:eastAsia="Arial Narrow" w:hAnsi="Arial Narrow" w:cs="Arial Narrow"/>
                <w:sz w:val="20"/>
                <w:szCs w:val="20"/>
              </w:rPr>
              <w:lastRenderedPageBreak/>
              <w:t>Sociales y Ambientales Sociales del Proyecto con los actores siguientes, así como del concepto GIT y restauración a los siguientes actores</w:t>
            </w:r>
          </w:p>
          <w:p w14:paraId="4A639D52" w14:textId="77777777" w:rsidR="00973680" w:rsidRPr="00DE692F" w:rsidRDefault="00973680" w:rsidP="001F5831">
            <w:pPr>
              <w:spacing w:before="144" w:after="0"/>
              <w:rPr>
                <w:rFonts w:ascii="Arial Narrow" w:eastAsia="Arial Narrow" w:hAnsi="Arial Narrow" w:cs="Arial Narrow"/>
                <w:sz w:val="20"/>
                <w:szCs w:val="20"/>
                <w:u w:val="single"/>
              </w:rPr>
            </w:pPr>
            <w:r w:rsidRPr="00DE692F">
              <w:rPr>
                <w:rFonts w:ascii="Arial Narrow" w:eastAsia="Arial Narrow" w:hAnsi="Arial Narrow" w:cs="Arial Narrow"/>
                <w:sz w:val="20"/>
                <w:szCs w:val="20"/>
                <w:u w:val="single"/>
              </w:rPr>
              <w:t>Cajamarca</w:t>
            </w:r>
          </w:p>
          <w:p w14:paraId="6A972CE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NCI</w:t>
            </w:r>
          </w:p>
          <w:p w14:paraId="44A36DA5"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ATFFS- Cajamarca</w:t>
            </w:r>
          </w:p>
          <w:p w14:paraId="4CB21BD9"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Plataforma Multiactor del Café (PMAC)</w:t>
            </w:r>
          </w:p>
          <w:p w14:paraId="67E3238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Municipalidad Provincial de San Ignacio</w:t>
            </w:r>
          </w:p>
          <w:p w14:paraId="0FD7E29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Jefatura del SNTN</w:t>
            </w:r>
          </w:p>
          <w:p w14:paraId="50D13496" w14:textId="77777777" w:rsidR="00973680" w:rsidRPr="00DE692F" w:rsidRDefault="00973680" w:rsidP="001F5831">
            <w:pPr>
              <w:spacing w:before="144" w:after="0"/>
              <w:rPr>
                <w:rFonts w:ascii="Arial Narrow" w:eastAsia="Arial Narrow" w:hAnsi="Arial Narrow" w:cs="Arial Narrow"/>
                <w:sz w:val="20"/>
                <w:szCs w:val="20"/>
                <w:u w:val="single"/>
              </w:rPr>
            </w:pPr>
            <w:r w:rsidRPr="00DE692F">
              <w:rPr>
                <w:rFonts w:ascii="Arial Narrow" w:eastAsia="Arial Narrow" w:hAnsi="Arial Narrow" w:cs="Arial Narrow"/>
                <w:sz w:val="20"/>
                <w:szCs w:val="20"/>
                <w:u w:val="single"/>
              </w:rPr>
              <w:t>Amazonas</w:t>
            </w:r>
          </w:p>
          <w:p w14:paraId="04DB394F"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GORE Amazonas</w:t>
            </w:r>
          </w:p>
          <w:p w14:paraId="693244D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SN Cordillera de Colán</w:t>
            </w:r>
          </w:p>
          <w:p w14:paraId="4888E931"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RC Chayunain</w:t>
            </w:r>
          </w:p>
          <w:p w14:paraId="4766CFE5"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Cooperativa Yakatheo</w:t>
            </w:r>
          </w:p>
          <w:p w14:paraId="65A4ED7A" w14:textId="77777777" w:rsidR="00973680" w:rsidRPr="00DE692F" w:rsidRDefault="00973680" w:rsidP="001F5831">
            <w:pPr>
              <w:spacing w:before="144" w:after="0"/>
              <w:rPr>
                <w:rFonts w:ascii="Arial Narrow" w:eastAsia="Arial Narrow" w:hAnsi="Arial Narrow" w:cs="Arial Narrow"/>
                <w:sz w:val="20"/>
                <w:szCs w:val="20"/>
                <w:u w:val="single"/>
              </w:rPr>
            </w:pPr>
            <w:r w:rsidRPr="00DE692F">
              <w:rPr>
                <w:rFonts w:ascii="Arial Narrow" w:eastAsia="Arial Narrow" w:hAnsi="Arial Narrow" w:cs="Arial Narrow"/>
                <w:sz w:val="20"/>
                <w:szCs w:val="20"/>
                <w:u w:val="single"/>
              </w:rPr>
              <w:t>Loreto- Alto Amazonas</w:t>
            </w:r>
          </w:p>
          <w:p w14:paraId="03375A8F"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ORDEPIA (CONAP)</w:t>
            </w:r>
          </w:p>
          <w:p w14:paraId="7D99CF60"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PNCBCCM</w:t>
            </w:r>
          </w:p>
          <w:p w14:paraId="10B59542"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CARITAS </w:t>
            </w:r>
          </w:p>
          <w:p w14:paraId="212BC771"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GERFOR</w:t>
            </w:r>
          </w:p>
          <w:p w14:paraId="79EB25A7" w14:textId="77777777" w:rsidR="008252B5" w:rsidRPr="00DE692F" w:rsidRDefault="008252B5" w:rsidP="008252B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El Mecanismo de atención de reclamos actualmente está funcionando.</w:t>
            </w:r>
          </w:p>
          <w:p w14:paraId="566F2AF3" w14:textId="6A9FFEA4" w:rsidR="008252B5" w:rsidRPr="00DE692F" w:rsidRDefault="008252B5" w:rsidP="008252B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Se desarrollarán reuniones descentralizadas con actores claves en el marco de salvaguardas</w:t>
            </w:r>
            <w:r w:rsidRPr="00DE692F">
              <w:t xml:space="preserve"> </w:t>
            </w:r>
            <w:r w:rsidRPr="00DE692F">
              <w:rPr>
                <w:rFonts w:ascii="Arial Narrow" w:eastAsia="Arial Narrow" w:hAnsi="Arial Narrow" w:cs="Arial Narrow"/>
                <w:sz w:val="20"/>
                <w:szCs w:val="20"/>
              </w:rPr>
              <w:t xml:space="preserve">orientado a la cero deforestación vinculada con café y </w:t>
            </w:r>
            <w:r w:rsidRPr="00DE692F">
              <w:rPr>
                <w:rFonts w:ascii="Arial Narrow" w:eastAsia="Arial Narrow" w:hAnsi="Arial Narrow" w:cs="Arial Narrow"/>
                <w:sz w:val="20"/>
                <w:szCs w:val="20"/>
              </w:rPr>
              <w:lastRenderedPageBreak/>
              <w:t>cacao entre otros temas dirigido a las mesas técnicas.</w:t>
            </w:r>
          </w:p>
          <w:p w14:paraId="7FBC8D04" w14:textId="12811141" w:rsidR="008252B5" w:rsidRPr="00DE692F" w:rsidRDefault="008252B5" w:rsidP="008252B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Actualmente se está diseñando un módulo de fortaleciendo de capacidades para funcionarios en donde los contenidos abordan GIP, Planificación y los enfoques transversales entre otros temas que contribuyen a tener un funcionariado con capacidades fortalecidas.</w:t>
            </w:r>
          </w:p>
          <w:p w14:paraId="620FD31D" w14:textId="4026E2A3" w:rsidR="008252B5" w:rsidRPr="00DE692F" w:rsidRDefault="008252B5" w:rsidP="008252B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Se ha elaborado un TDR sobre cuatro estudios sobre desplazamie</w:t>
            </w:r>
            <w:r w:rsidRPr="00DE692F">
              <w:rPr>
                <w:rFonts w:ascii="Arial Narrow" w:eastAsia="Arial Narrow" w:hAnsi="Arial Narrow" w:cs="Arial Narrow"/>
                <w:sz w:val="20"/>
                <w:szCs w:val="20"/>
              </w:rPr>
              <w:lastRenderedPageBreak/>
              <w:t>nto, pueblos indígenas y cambio climático y conservación de la biodiversidad que está siendo ajustado.</w:t>
            </w:r>
          </w:p>
          <w:p w14:paraId="278EF1F3" w14:textId="77777777" w:rsidR="00973680" w:rsidRDefault="00973680" w:rsidP="001F5831">
            <w:pPr>
              <w:spacing w:after="0"/>
              <w:rPr>
                <w:rFonts w:ascii="Arial Narrow" w:eastAsia="Arial Narrow" w:hAnsi="Arial Narrow" w:cs="Arial Narrow"/>
                <w:sz w:val="20"/>
                <w:szCs w:val="20"/>
              </w:rPr>
            </w:pPr>
          </w:p>
          <w:p w14:paraId="099185C1" w14:textId="1BB37663" w:rsidR="00672255" w:rsidRDefault="00672255" w:rsidP="001F5831">
            <w:pPr>
              <w:spacing w:after="0"/>
              <w:rPr>
                <w:rFonts w:ascii="Arial Narrow" w:eastAsia="Arial Narrow" w:hAnsi="Arial Narrow" w:cs="Arial Narrow"/>
                <w:sz w:val="20"/>
                <w:szCs w:val="20"/>
              </w:rPr>
            </w:pPr>
            <w:r>
              <w:rPr>
                <w:rFonts w:ascii="Arial Narrow" w:eastAsia="Arial Narrow" w:hAnsi="Arial Narrow" w:cs="Arial Narrow"/>
                <w:sz w:val="20"/>
                <w:szCs w:val="20"/>
              </w:rPr>
              <w:t>Finalmente, se conformó el grupo de trabajo de Pueblos indígenas, de modo tal que se encuentren debidamente representados para asegurar que el proyecto no sobreponga ninguna actividad sobre territorio indígena sin su consentimiento.</w:t>
            </w:r>
          </w:p>
          <w:p w14:paraId="25C646CE" w14:textId="77777777" w:rsidR="00672255" w:rsidRPr="00DE692F" w:rsidRDefault="00672255" w:rsidP="001F5831">
            <w:pPr>
              <w:spacing w:after="0"/>
              <w:rPr>
                <w:rFonts w:ascii="Arial Narrow" w:eastAsia="Arial Narrow" w:hAnsi="Arial Narrow" w:cs="Arial Narrow"/>
                <w:sz w:val="20"/>
                <w:szCs w:val="20"/>
              </w:rPr>
            </w:pPr>
          </w:p>
          <w:p w14:paraId="31E4BE16"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Responsable: La UGP del proyecto</w:t>
            </w:r>
          </w:p>
        </w:tc>
        <w:tc>
          <w:tcPr>
            <w:tcW w:w="1230" w:type="dxa"/>
            <w:vMerge w:val="restart"/>
            <w:vAlign w:val="center"/>
          </w:tcPr>
          <w:p w14:paraId="2F5D1E6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2264D33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Las mejoras que el proyecto introducirá en la aplicación   las regulaciones de la tierra y planes de uso en las zonas priorizadas, en el fortalecimiento de las plataformas de control y vigilancia forestal y en el seguimiento de la deforestación, podrían provocar el desplazamiento de grupos de población que, </w:t>
            </w:r>
            <w:r w:rsidRPr="00DE692F">
              <w:rPr>
                <w:rFonts w:ascii="Arial Narrow" w:eastAsia="Arial Narrow" w:hAnsi="Arial Narrow" w:cs="Arial Narrow"/>
                <w:sz w:val="20"/>
                <w:szCs w:val="20"/>
              </w:rPr>
              <w:lastRenderedPageBreak/>
              <w:t>debido a sus limitaciones técnicas y financieras, no podrían adaptarse a las nuevas disposiciones para la gestión sostenible del territorio y, en consecuencia, podrían migrar a zonas con menor vigilancia o fuera del área del proyecto.</w:t>
            </w:r>
          </w:p>
        </w:tc>
      </w:tr>
      <w:tr w:rsidR="00973680" w:rsidRPr="00DE692F" w14:paraId="3E4BAA05" w14:textId="77777777" w:rsidTr="001F5831">
        <w:trPr>
          <w:trHeight w:val="698"/>
        </w:trPr>
        <w:tc>
          <w:tcPr>
            <w:tcW w:w="570" w:type="dxa"/>
            <w:vMerge/>
            <w:vAlign w:val="center"/>
          </w:tcPr>
          <w:p w14:paraId="5B706A7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02B1338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63132CF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71B0046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08A5AEA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5729D7DE"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7B4B370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F8A665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B8552B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4C28C3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468A2F7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ED00C3D" w14:textId="77777777" w:rsidTr="001F5831">
        <w:trPr>
          <w:trHeight w:val="698"/>
        </w:trPr>
        <w:tc>
          <w:tcPr>
            <w:tcW w:w="570" w:type="dxa"/>
            <w:vMerge/>
            <w:vAlign w:val="center"/>
          </w:tcPr>
          <w:p w14:paraId="77C647B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0CBA701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676B84D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22D4EFF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5E05F2B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253CAA6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2362D29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2134DCA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040162D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443A5F3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0E64DF1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6E679097" w14:textId="77777777" w:rsidTr="001F5831">
        <w:trPr>
          <w:trHeight w:val="698"/>
        </w:trPr>
        <w:tc>
          <w:tcPr>
            <w:tcW w:w="570" w:type="dxa"/>
            <w:vMerge w:val="restart"/>
            <w:vAlign w:val="center"/>
          </w:tcPr>
          <w:p w14:paraId="1E725C8D"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4</w:t>
            </w:r>
          </w:p>
        </w:tc>
        <w:tc>
          <w:tcPr>
            <w:tcW w:w="1875" w:type="dxa"/>
            <w:vMerge w:val="restart"/>
            <w:vAlign w:val="center"/>
          </w:tcPr>
          <w:p w14:paraId="24553F4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promoción por parte del proyecto de la restauración de tierras y de modelos de commodities más rentables y sostenibles podría atraer la migración estacional de personas para prestar servicios de mano de obra o asistencia técnica. Esto podría aumentar el riesgo de la población local, es decir, de contraer enfermedades transmitidas por el agua o por vectores, o infecciones contagiosas, impactos asociados al lugar de trabajo, comunidad local, consideraciones de salud y seguridad</w:t>
            </w:r>
          </w:p>
        </w:tc>
        <w:tc>
          <w:tcPr>
            <w:tcW w:w="2010" w:type="dxa"/>
            <w:vMerge w:val="restart"/>
            <w:vAlign w:val="center"/>
          </w:tcPr>
          <w:p w14:paraId="7569472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Promover la restauración de tierras y de modelos de commodities más rentables y sostenibles por el proyecto podría atraer la migración estacional de personas para prestar servicios de mano de obra o asistencia técnica</w:t>
            </w:r>
          </w:p>
        </w:tc>
        <w:tc>
          <w:tcPr>
            <w:tcW w:w="1635" w:type="dxa"/>
            <w:vMerge w:val="restart"/>
            <w:vAlign w:val="center"/>
          </w:tcPr>
          <w:p w14:paraId="62DBA47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Esto podría aumentar el riesgo de la población local, es decir, de contraer enfermedades transmitidas por el agua o por vectores, o infecciones contagiosas, impactos asociados al lugar de trabajo, comunidad local, consideraciones de salud y seguridad.</w:t>
            </w:r>
          </w:p>
        </w:tc>
        <w:tc>
          <w:tcPr>
            <w:tcW w:w="1305" w:type="dxa"/>
            <w:vMerge w:val="restart"/>
            <w:vAlign w:val="center"/>
          </w:tcPr>
          <w:p w14:paraId="1F42636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1.6</w:t>
            </w:r>
          </w:p>
        </w:tc>
        <w:tc>
          <w:tcPr>
            <w:tcW w:w="1305" w:type="dxa"/>
            <w:vAlign w:val="center"/>
          </w:tcPr>
          <w:p w14:paraId="50EBE99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056C2B4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21C5273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UGP del proyecto </w:t>
            </w:r>
          </w:p>
        </w:tc>
        <w:tc>
          <w:tcPr>
            <w:tcW w:w="1200" w:type="dxa"/>
            <w:vMerge w:val="restart"/>
            <w:vAlign w:val="center"/>
          </w:tcPr>
          <w:p w14:paraId="64F8AB50" w14:textId="77777777" w:rsidR="00EA3300" w:rsidRPr="00DE692F" w:rsidRDefault="0051067E" w:rsidP="00EA3300">
            <w:pPr>
              <w:spacing w:before="144" w:after="0"/>
              <w:rPr>
                <w:rFonts w:ascii="Arial Narrow" w:eastAsia="Arial Narrow" w:hAnsi="Arial Narrow" w:cs="Arial Narrow"/>
                <w:sz w:val="20"/>
                <w:szCs w:val="20"/>
              </w:rPr>
            </w:pPr>
            <w:commentRangeStart w:id="2"/>
            <w:commentRangeStart w:id="3"/>
            <w:commentRangeEnd w:id="2"/>
            <w:r w:rsidRPr="00DE692F">
              <w:rPr>
                <w:rStyle w:val="Refdecomentario"/>
                <w:rFonts w:ascii="Arial Narrow" w:eastAsia="Arial Narrow" w:hAnsi="Arial Narrow" w:cs="Arial Narrow"/>
                <w:sz w:val="20"/>
                <w:szCs w:val="20"/>
              </w:rPr>
              <w:commentReference w:id="2"/>
            </w:r>
            <w:commentRangeEnd w:id="3"/>
            <w:r w:rsidR="006739CE" w:rsidRPr="00DE692F">
              <w:rPr>
                <w:rStyle w:val="Refdecomentario"/>
                <w:rFonts w:ascii="Arial Narrow" w:eastAsia="Arial Narrow" w:hAnsi="Arial Narrow" w:cs="Arial Narrow"/>
                <w:sz w:val="20"/>
                <w:szCs w:val="20"/>
              </w:rPr>
              <w:commentReference w:id="3"/>
            </w:r>
            <w:r w:rsidR="00EA3300" w:rsidRPr="00DE692F">
              <w:rPr>
                <w:rFonts w:ascii="Arial Narrow" w:eastAsia="Arial Narrow" w:hAnsi="Arial Narrow" w:cs="Arial Narrow"/>
                <w:sz w:val="20"/>
                <w:szCs w:val="20"/>
              </w:rPr>
              <w:t>Tratamiento del riesgo 4:</w:t>
            </w:r>
          </w:p>
          <w:p w14:paraId="19CEDE8B" w14:textId="77777777" w:rsidR="00EA3300" w:rsidRPr="00DE692F" w:rsidRDefault="00EA3300" w:rsidP="00EA3300">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han realizado inducciones en salvaguardas sociales y ambientales En el caso del Componente 1, en el marco de brindar asistencia técnica a los CCUSAF, se contrataron técnicos de campo, a quienes se les brindó una inducción en salvaguardas sociales, ambientales y de género y se cuenta con un informe </w:t>
            </w:r>
            <w:r w:rsidRPr="00DE692F">
              <w:rPr>
                <w:rFonts w:ascii="Arial Narrow" w:eastAsia="Arial Narrow" w:hAnsi="Arial Narrow" w:cs="Arial Narrow"/>
                <w:sz w:val="20"/>
                <w:szCs w:val="20"/>
              </w:rPr>
              <w:lastRenderedPageBreak/>
              <w:t xml:space="preserve">sobre la sistematización del proceso y recomendaciones de mejoras. </w:t>
            </w:r>
          </w:p>
          <w:p w14:paraId="1220BF96" w14:textId="77777777" w:rsidR="00EA3300" w:rsidRPr="00DE692F" w:rsidRDefault="00EA3300" w:rsidP="00EA3300">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Como parte de la gestión del riesgo identificado, el Proyecto elaborará  un Protocolo de Entrada a Campo, en el que se incorporarán de manera explícita consideraciones de cuidado social y ambiental que aplicará para todas las intervenciones en el territorio, para la UGP y los servicios que el proyecto contrate. El Protocolo </w:t>
            </w:r>
            <w:r w:rsidRPr="00DE692F">
              <w:rPr>
                <w:rFonts w:ascii="Arial Narrow" w:eastAsia="Arial Narrow" w:hAnsi="Arial Narrow" w:cs="Arial Narrow"/>
                <w:sz w:val="20"/>
                <w:szCs w:val="20"/>
              </w:rPr>
              <w:lastRenderedPageBreak/>
              <w:t>será formalmente difundido y socializado entre todos los actores del proyecto que desarrollen actividades en campo, asegurando su conocimiento y aplicación consistente durante la implementación.</w:t>
            </w:r>
          </w:p>
          <w:p w14:paraId="78A707CC" w14:textId="4F683794" w:rsidR="00973680" w:rsidRPr="00DE692F" w:rsidRDefault="00EA3300" w:rsidP="00EA3300">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3AE31ED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3621D539"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Desde hace más de una década, Loreto tiene la mayor proporción de casos de malaria a nivel nacional, incluyendo las tres variedades del vector Plasmodium vivax, P. falciparum y P. malariae. En el años 2020, en el área de intervención, la incidencia de malaria por cada 100 mil habitantes en Loreto fue de 1,013; en Amazonas, 344; en San Martín, 12; y en Cajamarca, 0. La incidencia del dengue por cada 100.000 habitantes en Loreto fue del 97,6%; en San Martín, del 41,7%; en Amazonas, 37,1%; y en Cajamarca, 5%. La incidencia del Zika por cada 100.000 </w:t>
            </w:r>
            <w:r w:rsidRPr="00DE692F">
              <w:rPr>
                <w:rFonts w:ascii="Arial Narrow" w:eastAsia="Arial Narrow" w:hAnsi="Arial Narrow" w:cs="Arial Narrow"/>
                <w:sz w:val="20"/>
                <w:szCs w:val="20"/>
              </w:rPr>
              <w:lastRenderedPageBreak/>
              <w:t>habitantes ha sido: San Martín, 1,1%; Loreto, 0,6%; Amazonas, 1%; y Cajamarca, 0,4%.</w:t>
            </w:r>
          </w:p>
          <w:p w14:paraId="4AFDC65F"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La migración o la creación de asentamientos humanos con condiciones sanitarias deficientes, el aumento de la variabilidad climática y la alteración de los hábitats naturales podrían afectar a la epidemiología de las enfermedades contagiosas (como el dengue), y deben abordarse e identificarse mediante el análisis de lagunas, como se indica en el MGAS.</w:t>
            </w:r>
          </w:p>
          <w:p w14:paraId="04AFFC1D"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 Los planes/medidas de gestión necesarios se pondrán en marcha como parte de los ESMP, basándose en las ESIA. Véase el Anexo del MGAS </w:t>
            </w:r>
            <w:r w:rsidRPr="00DE692F">
              <w:rPr>
                <w:rFonts w:ascii="Arial Narrow" w:eastAsia="Arial Narrow" w:hAnsi="Arial Narrow" w:cs="Arial Narrow"/>
                <w:sz w:val="20"/>
                <w:szCs w:val="20"/>
              </w:rPr>
              <w:lastRenderedPageBreak/>
              <w:t xml:space="preserve">(Riesgos A&amp;M especificaciones) para los detalles de la evaluación y gestión de este riesgo. brotes podrían aumentar o aparecer en nuevas zonas.  </w:t>
            </w:r>
          </w:p>
        </w:tc>
      </w:tr>
      <w:tr w:rsidR="00973680" w:rsidRPr="00DE692F" w14:paraId="126F6CCD" w14:textId="77777777" w:rsidTr="001F5831">
        <w:trPr>
          <w:trHeight w:val="698"/>
        </w:trPr>
        <w:tc>
          <w:tcPr>
            <w:tcW w:w="570" w:type="dxa"/>
            <w:vMerge/>
            <w:vAlign w:val="center"/>
          </w:tcPr>
          <w:p w14:paraId="1622E99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4672B2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14EE677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1903BE8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3FB0543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6A9CD89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2</w:t>
            </w:r>
          </w:p>
        </w:tc>
        <w:tc>
          <w:tcPr>
            <w:tcW w:w="1365" w:type="dxa"/>
            <w:vMerge/>
            <w:vAlign w:val="center"/>
          </w:tcPr>
          <w:p w14:paraId="1E2EF62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AA6C87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3B65F00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0B4F74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497E6ED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3BF13F1D" w14:textId="77777777" w:rsidTr="001F5831">
        <w:trPr>
          <w:trHeight w:val="698"/>
        </w:trPr>
        <w:tc>
          <w:tcPr>
            <w:tcW w:w="570" w:type="dxa"/>
            <w:vMerge/>
            <w:vAlign w:val="center"/>
          </w:tcPr>
          <w:p w14:paraId="57ADB28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3DA634B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2C41244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A1887E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7A23D01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4AF3BEC7"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 Bajo</w:t>
            </w:r>
          </w:p>
        </w:tc>
        <w:tc>
          <w:tcPr>
            <w:tcW w:w="1365" w:type="dxa"/>
            <w:vMerge/>
            <w:vAlign w:val="center"/>
          </w:tcPr>
          <w:p w14:paraId="03EAB4D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E280F5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1E267A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25AE8D9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3479B3B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BBCD5E1" w14:textId="77777777" w:rsidTr="001F5831">
        <w:trPr>
          <w:trHeight w:val="698"/>
        </w:trPr>
        <w:tc>
          <w:tcPr>
            <w:tcW w:w="570" w:type="dxa"/>
            <w:vMerge w:val="restart"/>
            <w:vAlign w:val="center"/>
          </w:tcPr>
          <w:p w14:paraId="310F132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5</w:t>
            </w:r>
          </w:p>
        </w:tc>
        <w:tc>
          <w:tcPr>
            <w:tcW w:w="1875" w:type="dxa"/>
            <w:vMerge w:val="restart"/>
            <w:vAlign w:val="center"/>
          </w:tcPr>
          <w:p w14:paraId="2A5D996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promoción por parte del proyecto de la restauración de tierras y de modelos de commodities más rentables y sostenibles podría atraer la migración estacional de personas para prestar servicios de mano de obra o asistencia técnica. Esto podría aumentar el riesgo de la </w:t>
            </w:r>
            <w:r w:rsidRPr="00DE692F">
              <w:rPr>
                <w:rFonts w:ascii="Arial Narrow" w:eastAsia="Arial Narrow" w:hAnsi="Arial Narrow" w:cs="Arial Narrow"/>
                <w:sz w:val="20"/>
                <w:szCs w:val="20"/>
              </w:rPr>
              <w:lastRenderedPageBreak/>
              <w:t>población local, es decir, de contraer enfermedades transmitidas por el agua o por vectores, o infecciones contagiosas, impactos asociados al lugar de trabajo, comunidad local, consideraciones de salud y seguridad</w:t>
            </w:r>
          </w:p>
        </w:tc>
        <w:tc>
          <w:tcPr>
            <w:tcW w:w="2010" w:type="dxa"/>
            <w:vMerge w:val="restart"/>
            <w:vAlign w:val="center"/>
          </w:tcPr>
          <w:p w14:paraId="63D3CC8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Emergencia Sanitaria, el brote de coronavirus COVID 19 en el Perú.</w:t>
            </w:r>
          </w:p>
        </w:tc>
        <w:tc>
          <w:tcPr>
            <w:tcW w:w="1635" w:type="dxa"/>
            <w:vMerge w:val="restart"/>
            <w:vAlign w:val="center"/>
          </w:tcPr>
          <w:p w14:paraId="4F5A406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El alcance de las medidas para evitar la propagación del virus y su impacto en la sociedad y en las economías, principalmente en los ámbitos locales ha sido limitado y se ha agravado debido a las condiciones precarias de los servicios básicos, </w:t>
            </w:r>
            <w:r w:rsidRPr="00DE692F">
              <w:rPr>
                <w:rFonts w:ascii="Arial Narrow" w:eastAsia="Arial Narrow" w:hAnsi="Arial Narrow" w:cs="Arial Narrow"/>
                <w:sz w:val="20"/>
                <w:szCs w:val="20"/>
              </w:rPr>
              <w:lastRenderedPageBreak/>
              <w:t>por lo que la pobreza y pobreza extrema se han incrementado, incrementándose la desigualdad. Se nota una repercusión de la pandemia en la agricultura. cuyo precio de los productos bajaron, ocasionando la disminución de los ingresos, por lo que se proyecta un incremento de la desigualdad en Perú.</w:t>
            </w:r>
          </w:p>
        </w:tc>
        <w:tc>
          <w:tcPr>
            <w:tcW w:w="1305" w:type="dxa"/>
            <w:vMerge w:val="restart"/>
            <w:vAlign w:val="center"/>
          </w:tcPr>
          <w:p w14:paraId="5465250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Categoría 1, 1.6</w:t>
            </w:r>
          </w:p>
        </w:tc>
        <w:tc>
          <w:tcPr>
            <w:tcW w:w="1305" w:type="dxa"/>
            <w:vAlign w:val="center"/>
          </w:tcPr>
          <w:p w14:paraId="474967B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4</w:t>
            </w:r>
          </w:p>
        </w:tc>
        <w:tc>
          <w:tcPr>
            <w:tcW w:w="1365" w:type="dxa"/>
            <w:vMerge w:val="restart"/>
            <w:vAlign w:val="center"/>
          </w:tcPr>
          <w:p w14:paraId="661B99F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No está vigente actualmente</w:t>
            </w:r>
          </w:p>
        </w:tc>
        <w:tc>
          <w:tcPr>
            <w:tcW w:w="1215" w:type="dxa"/>
            <w:vMerge w:val="restart"/>
            <w:vAlign w:val="center"/>
          </w:tcPr>
          <w:p w14:paraId="4BEF4A9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360D47D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Tratamiento del riesgo: Actualmente este riesgo no está vigente, debido a que los casos de COVID 19 son menores, y el estado peruano las medidas de prevención y </w:t>
            </w:r>
            <w:r w:rsidRPr="00DE692F">
              <w:rPr>
                <w:rFonts w:ascii="Arial Narrow" w:eastAsia="Arial Narrow" w:hAnsi="Arial Narrow" w:cs="Arial Narrow"/>
                <w:sz w:val="20"/>
                <w:szCs w:val="20"/>
              </w:rPr>
              <w:lastRenderedPageBreak/>
              <w:t>restrictivas, Se evaluó ese riesgo y se ha solicitado retirarlo.</w:t>
            </w:r>
          </w:p>
          <w:p w14:paraId="368ACE4A" w14:textId="77777777" w:rsidR="00973680" w:rsidRPr="00DE692F" w:rsidRDefault="00973680" w:rsidP="001F5831">
            <w:pPr>
              <w:spacing w:after="0"/>
              <w:rPr>
                <w:rFonts w:ascii="Arial Narrow" w:eastAsia="Arial Narrow" w:hAnsi="Arial Narrow" w:cs="Arial Narrow"/>
                <w:sz w:val="20"/>
                <w:szCs w:val="20"/>
              </w:rPr>
            </w:pPr>
          </w:p>
          <w:p w14:paraId="0618C108"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7EB202B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0E1EB97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marzo de 2020, la OMS declaró el brote de coronavirus (COVID-19) como pandemia. Los mecanismos de respuesta de los países han incluido cuarentenas generalizadas que restringen la circulación de personas y bienes. </w:t>
            </w:r>
            <w:r w:rsidRPr="00DE692F">
              <w:rPr>
                <w:rFonts w:ascii="Arial Narrow" w:eastAsia="Arial Narrow" w:hAnsi="Arial Narrow" w:cs="Arial Narrow"/>
                <w:sz w:val="20"/>
                <w:szCs w:val="20"/>
              </w:rPr>
              <w:lastRenderedPageBreak/>
              <w:t xml:space="preserve">En Perú, en marzo de 2020, se declaró un estado de emergencia que incluía el aislamiento social obligatorio que, en algunos departamentos, se extendió hasta octubre de 2020. Se aprobaron una serie de normas para evitar la propagación del virus y reducir su impacto social y económico;12 sin embargo, el alcance de estas medidas, especialmente en las zonas rurales, ha sido limitado. Esto se ve agravado por condiciones preexistentes como la precariedad de los servicios básicos. Según las proyecciones de la CEPAL (2020), la pobreza y la pobreza extrema en Perú aumentarán en 3,6 y 3,7 puntos </w:t>
            </w:r>
            <w:r w:rsidRPr="00DE692F">
              <w:rPr>
                <w:rFonts w:ascii="Arial Narrow" w:eastAsia="Arial Narrow" w:hAnsi="Arial Narrow" w:cs="Arial Narrow"/>
                <w:sz w:val="20"/>
                <w:szCs w:val="20"/>
              </w:rPr>
              <w:lastRenderedPageBreak/>
              <w:t xml:space="preserve">porcentuales, respectivamente, en un escenario de alto impacto. En la misma línea, se proyecta un incremento de la desigualdad en Perú, con un aumento del Índice de Gini de entre 1,5% y 2,9%.6 Un estudio del PNUD (2020)7 destaca que los departamentos con mayor proporción de hogares vulnerables al COVID-19 son Cajamarca (70%) y Loreto (65%), que presentan dos o más fuentes simultáneas de vulnerabilidad. 8 El estudio también destaca que existe una notable asociación entre alta vulnerabilidad, bajo desarrollo humano y alta especialización agrícola.Varias fuentes de información </w:t>
            </w:r>
            <w:r w:rsidRPr="00DE692F">
              <w:rPr>
                <w:rFonts w:ascii="Arial Narrow" w:eastAsia="Arial Narrow" w:hAnsi="Arial Narrow" w:cs="Arial Narrow"/>
                <w:sz w:val="20"/>
                <w:szCs w:val="20"/>
              </w:rPr>
              <w:lastRenderedPageBreak/>
              <w:t>describen las repercusiones de la pandemia en la agricultura, como el descenso de los precios de los productos agrícolas, la disminución de los ingresos debido a la restricción de la comercialización a nivel nacional y para la exportación, la reducción de las fuentes de empleo, el acceso limitado a los insumos para la producción y la mano de obra, el aumento de las actividades ilegales y la disminución de la capacidad de vigilancia.</w:t>
            </w:r>
          </w:p>
        </w:tc>
      </w:tr>
      <w:tr w:rsidR="00973680" w:rsidRPr="00DE692F" w14:paraId="1D9C9089" w14:textId="77777777" w:rsidTr="001F5831">
        <w:trPr>
          <w:trHeight w:val="698"/>
        </w:trPr>
        <w:tc>
          <w:tcPr>
            <w:tcW w:w="570" w:type="dxa"/>
            <w:vMerge/>
            <w:vAlign w:val="center"/>
          </w:tcPr>
          <w:p w14:paraId="2665EA9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2EE4574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08F504C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AC512C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356EE10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79BC4107"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4617A82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149B78E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2B7AE6E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24F803D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59B8B24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2FE7C60C" w14:textId="77777777" w:rsidTr="001F5831">
        <w:trPr>
          <w:trHeight w:val="698"/>
        </w:trPr>
        <w:tc>
          <w:tcPr>
            <w:tcW w:w="570" w:type="dxa"/>
            <w:vMerge/>
            <w:vAlign w:val="center"/>
          </w:tcPr>
          <w:p w14:paraId="1A618E7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2BA35C0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350D2DA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59CA48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756182F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38EB5F4E"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38B4181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700DF62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2A8823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7599632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187DDF2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01FBA58A" w14:textId="77777777" w:rsidTr="001F5831">
        <w:trPr>
          <w:trHeight w:val="698"/>
        </w:trPr>
        <w:tc>
          <w:tcPr>
            <w:tcW w:w="570" w:type="dxa"/>
            <w:vMerge w:val="restart"/>
            <w:vAlign w:val="center"/>
          </w:tcPr>
          <w:p w14:paraId="69A5882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6</w:t>
            </w:r>
          </w:p>
        </w:tc>
        <w:tc>
          <w:tcPr>
            <w:tcW w:w="1875" w:type="dxa"/>
            <w:vMerge w:val="restart"/>
            <w:vAlign w:val="center"/>
          </w:tcPr>
          <w:p w14:paraId="0E646F0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intervención del proyecto podría apoyar inadvertidamente el trabajo infantil y otras violaciones de la normativa laboral internacional por parte de las organizaciones beneficiarias, lo que daría lugar a </w:t>
            </w:r>
            <w:r w:rsidRPr="00DE692F">
              <w:rPr>
                <w:rFonts w:ascii="Arial Narrow" w:eastAsia="Arial Narrow" w:hAnsi="Arial Narrow" w:cs="Arial Narrow"/>
                <w:sz w:val="20"/>
                <w:szCs w:val="20"/>
              </w:rPr>
              <w:lastRenderedPageBreak/>
              <w:t>violaciones de los derechos humanos.</w:t>
            </w:r>
          </w:p>
        </w:tc>
        <w:tc>
          <w:tcPr>
            <w:tcW w:w="2010" w:type="dxa"/>
            <w:vMerge w:val="restart"/>
            <w:vAlign w:val="center"/>
          </w:tcPr>
          <w:p w14:paraId="3E03F78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La intervención del proyecto podría apoyar inadvertidamente el trabajo infantil y otras violaciones de la normativa laboral internacional por parte de las organizaciones beneficiarias.</w:t>
            </w:r>
          </w:p>
        </w:tc>
        <w:tc>
          <w:tcPr>
            <w:tcW w:w="1635" w:type="dxa"/>
            <w:vMerge w:val="restart"/>
            <w:vAlign w:val="center"/>
          </w:tcPr>
          <w:p w14:paraId="393B87F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Violaciones de los derechos humanos.                                                                                                                                En Perú, este riesgo se incrementa por el cierre de escuelas que podría aumentar la disponibilidad de mano de obra </w:t>
            </w:r>
            <w:r w:rsidRPr="00DE692F">
              <w:rPr>
                <w:rFonts w:ascii="Arial Narrow" w:eastAsia="Arial Narrow" w:hAnsi="Arial Narrow" w:cs="Arial Narrow"/>
                <w:sz w:val="20"/>
                <w:szCs w:val="20"/>
              </w:rPr>
              <w:lastRenderedPageBreak/>
              <w:t>barata para la agricultura. 11,12 La normativa peruana sobre trabajo infantil13 prohíbe los trabajos agrícolas que requieran el contacto y/o la exposición a productos químicos, sustancias tóxicas o corrosivas e inflamables.</w:t>
            </w:r>
          </w:p>
        </w:tc>
        <w:tc>
          <w:tcPr>
            <w:tcW w:w="1305" w:type="dxa"/>
            <w:vMerge w:val="restart"/>
            <w:vAlign w:val="center"/>
          </w:tcPr>
          <w:p w14:paraId="3BDB5EE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Categoría1, 1.1, 1.9</w:t>
            </w:r>
          </w:p>
        </w:tc>
        <w:tc>
          <w:tcPr>
            <w:tcW w:w="1305" w:type="dxa"/>
            <w:vAlign w:val="center"/>
          </w:tcPr>
          <w:p w14:paraId="69D58848"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3FDA185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2CE551F9" w14:textId="77777777" w:rsidR="00973680" w:rsidRPr="00DE692F" w:rsidRDefault="00973680" w:rsidP="001F5831">
            <w:pPr>
              <w:spacing w:before="144" w:after="144"/>
              <w:rPr>
                <w:rFonts w:ascii="Arial Narrow" w:eastAsia="Arial Narrow" w:hAnsi="Arial Narrow" w:cs="Arial Narrow"/>
                <w:sz w:val="20"/>
                <w:szCs w:val="20"/>
              </w:rPr>
            </w:pPr>
          </w:p>
        </w:tc>
        <w:tc>
          <w:tcPr>
            <w:tcW w:w="1200" w:type="dxa"/>
            <w:vMerge w:val="restart"/>
            <w:vAlign w:val="center"/>
          </w:tcPr>
          <w:p w14:paraId="74867B0C" w14:textId="77777777" w:rsidR="00973680" w:rsidRPr="00DE692F" w:rsidRDefault="00973680" w:rsidP="001F5831">
            <w:pPr>
              <w:spacing w:before="144" w:after="0"/>
              <w:rPr>
                <w:rFonts w:ascii="Arial Narrow" w:eastAsia="Arial Narrow" w:hAnsi="Arial Narrow" w:cs="Arial Narrow"/>
                <w:sz w:val="20"/>
                <w:szCs w:val="20"/>
              </w:rPr>
            </w:pPr>
            <w:commentRangeStart w:id="4"/>
            <w:commentRangeStart w:id="5"/>
            <w:r w:rsidRPr="00DE692F">
              <w:rPr>
                <w:rFonts w:ascii="Arial Narrow" w:eastAsia="Arial Narrow" w:hAnsi="Arial Narrow" w:cs="Arial Narrow"/>
                <w:sz w:val="20"/>
                <w:szCs w:val="20"/>
              </w:rPr>
              <w:t xml:space="preserve">Tratamiento </w:t>
            </w:r>
            <w:commentRangeEnd w:id="4"/>
            <w:r w:rsidR="00772D75" w:rsidRPr="00DE692F">
              <w:rPr>
                <w:rStyle w:val="Refdecomentario"/>
                <w:rFonts w:ascii="Arial Narrow" w:eastAsia="Arial Narrow" w:hAnsi="Arial Narrow" w:cs="Arial Narrow"/>
                <w:sz w:val="20"/>
                <w:szCs w:val="20"/>
              </w:rPr>
              <w:commentReference w:id="4"/>
            </w:r>
            <w:commentRangeEnd w:id="5"/>
            <w:r w:rsidR="006739CE" w:rsidRPr="00DE692F">
              <w:rPr>
                <w:rStyle w:val="Refdecomentario"/>
                <w:rFonts w:ascii="Arial Narrow" w:eastAsia="Arial Narrow" w:hAnsi="Arial Narrow" w:cs="Arial Narrow"/>
                <w:sz w:val="20"/>
                <w:szCs w:val="20"/>
              </w:rPr>
              <w:commentReference w:id="5"/>
            </w:r>
            <w:r w:rsidRPr="00DE692F">
              <w:rPr>
                <w:rFonts w:ascii="Arial Narrow" w:eastAsia="Arial Narrow" w:hAnsi="Arial Narrow" w:cs="Arial Narrow"/>
                <w:sz w:val="20"/>
                <w:szCs w:val="20"/>
              </w:rPr>
              <w:t>del riesgo:</w:t>
            </w:r>
          </w:p>
          <w:p w14:paraId="662B6109" w14:textId="798784EB"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ha sido socializado con MIDAGRI y el GORE Amazonas, al </w:t>
            </w:r>
            <w:r w:rsidRPr="00DE692F">
              <w:rPr>
                <w:rFonts w:ascii="Arial Narrow" w:eastAsia="Arial Narrow" w:hAnsi="Arial Narrow" w:cs="Arial Narrow"/>
                <w:sz w:val="20"/>
                <w:szCs w:val="20"/>
              </w:rPr>
              <w:lastRenderedPageBreak/>
              <w:t>igual que los otros riesgos</w:t>
            </w:r>
            <w:r w:rsidR="00B8084C" w:rsidRPr="00DE692F">
              <w:rPr>
                <w:rFonts w:ascii="Arial Narrow" w:eastAsia="Arial Narrow" w:hAnsi="Arial Narrow" w:cs="Arial Narrow"/>
                <w:sz w:val="20"/>
                <w:szCs w:val="20"/>
              </w:rPr>
              <w:t>.</w:t>
            </w:r>
          </w:p>
          <w:p w14:paraId="179A38EE" w14:textId="69022CAB" w:rsidR="00B8084C" w:rsidRPr="00DE692F" w:rsidRDefault="00083BE5"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 la fecha mediante un servicio de consultoría en el marco del PAG, 10 organizaciones</w:t>
            </w:r>
            <w:r w:rsidRPr="00DE692F">
              <w:t xml:space="preserve"> </w:t>
            </w:r>
            <w:r w:rsidRPr="00DE692F">
              <w:rPr>
                <w:rFonts w:ascii="Arial Narrow" w:eastAsia="Arial Narrow" w:hAnsi="Arial Narrow" w:cs="Arial Narrow"/>
                <w:sz w:val="20"/>
                <w:szCs w:val="20"/>
              </w:rPr>
              <w:t>de productores están incorporando actualmente en sus estatutos elementos claves que incorporan y fortalecen la participación de las mujeres y explicitan la prohibición del trabajo infantil, como un elemento de vital importancia para cumplir con el comercio justo.</w:t>
            </w:r>
          </w:p>
          <w:p w14:paraId="254CF958" w14:textId="050B8951" w:rsidR="00083BE5" w:rsidRPr="00DE692F" w:rsidRDefault="00083BE5" w:rsidP="00083BE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y los TDR de la </w:t>
            </w:r>
            <w:r w:rsidRPr="00DE692F">
              <w:rPr>
                <w:rFonts w:ascii="Arial Narrow" w:eastAsia="Arial Narrow" w:hAnsi="Arial Narrow" w:cs="Arial Narrow"/>
                <w:sz w:val="20"/>
                <w:szCs w:val="20"/>
              </w:rPr>
              <w:lastRenderedPageBreak/>
              <w:t>consultoría sobre Trabajo infantil en las cadenas de valor de café y cacao ha sido</w:t>
            </w:r>
            <w:r w:rsidRPr="00DE692F">
              <w:t xml:space="preserve"> </w:t>
            </w:r>
            <w:r w:rsidRPr="00DE692F">
              <w:rPr>
                <w:rFonts w:ascii="Arial Narrow" w:eastAsia="Arial Narrow" w:hAnsi="Arial Narrow" w:cs="Arial Narrow"/>
                <w:sz w:val="20"/>
                <w:szCs w:val="20"/>
              </w:rPr>
              <w:t xml:space="preserve">socializado y recoge aportes de  CEPTI espacio de diálogo tripartito y multisectorial que impulsa y da seguimiento a la política pública relativa a la prevención y erradicación del trabajo infantil y de protección de los y las adolescentes que trabajan. Adscrito al Ministerio de Trabajo y Promoción del Empleo (MTPE), sus actividades </w:t>
            </w:r>
            <w:r w:rsidRPr="00DE692F">
              <w:rPr>
                <w:rFonts w:ascii="Arial Narrow" w:eastAsia="Arial Narrow" w:hAnsi="Arial Narrow" w:cs="Arial Narrow"/>
                <w:sz w:val="20"/>
                <w:szCs w:val="20"/>
              </w:rPr>
              <w:lastRenderedPageBreak/>
              <w:t>son impulsadas por la Dirección General de Derechos Fundamentales y</w:t>
            </w:r>
            <w:r w:rsidRPr="00DE692F">
              <w:t xml:space="preserve"> </w:t>
            </w:r>
            <w:r w:rsidRPr="00DE692F">
              <w:rPr>
                <w:rFonts w:ascii="Arial Narrow" w:eastAsia="Arial Narrow" w:hAnsi="Arial Narrow" w:cs="Arial Narrow"/>
                <w:sz w:val="20"/>
                <w:szCs w:val="20"/>
              </w:rPr>
              <w:t>Seguridad y Salud en el Trabajo.</w:t>
            </w:r>
            <w:r w:rsidR="001B3CCC">
              <w:rPr>
                <w:rFonts w:ascii="Arial Narrow" w:eastAsia="Arial Narrow" w:hAnsi="Arial Narrow" w:cs="Arial Narrow"/>
                <w:sz w:val="20"/>
                <w:szCs w:val="20"/>
              </w:rPr>
              <w:t xml:space="preserve"> </w:t>
            </w:r>
            <w:r w:rsidRPr="00DE692F">
              <w:rPr>
                <w:rFonts w:ascii="Arial Narrow" w:eastAsia="Arial Narrow" w:hAnsi="Arial Narrow" w:cs="Arial Narrow"/>
                <w:sz w:val="20"/>
                <w:szCs w:val="20"/>
              </w:rPr>
              <w:t>Actualmente el proceso de convocatoria del servicio sobre el estudio de trabajo infantil se encuentra en curso.</w:t>
            </w:r>
          </w:p>
          <w:p w14:paraId="1029C658" w14:textId="32224091" w:rsidR="00083BE5" w:rsidRDefault="00083BE5" w:rsidP="00083BE5">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Se ha realizado una inducción al equipo del proyecto sobre el riesgo de trabajo infantil a cargo de un experto de rainforest Alliance.</w:t>
            </w:r>
          </w:p>
          <w:p w14:paraId="54BC781F" w14:textId="77777777" w:rsidR="001B3CCC" w:rsidRDefault="001B3CCC" w:rsidP="00083BE5">
            <w:pPr>
              <w:spacing w:before="144" w:after="0"/>
              <w:rPr>
                <w:rFonts w:ascii="Arial Narrow" w:eastAsia="Arial Narrow" w:hAnsi="Arial Narrow" w:cs="Arial Narrow"/>
                <w:sz w:val="20"/>
                <w:szCs w:val="20"/>
              </w:rPr>
            </w:pPr>
          </w:p>
          <w:p w14:paraId="5E005567" w14:textId="77777777" w:rsidR="001B3CCC" w:rsidRPr="001B3CCC" w:rsidRDefault="001B3CCC" w:rsidP="001B3CCC">
            <w:pPr>
              <w:spacing w:before="144" w:after="0"/>
              <w:rPr>
                <w:rFonts w:ascii="Arial Narrow" w:eastAsia="Arial Narrow" w:hAnsi="Arial Narrow" w:cs="Arial Narrow"/>
                <w:sz w:val="20"/>
                <w:szCs w:val="20"/>
              </w:rPr>
            </w:pPr>
            <w:r w:rsidRPr="001B3CCC">
              <w:rPr>
                <w:rFonts w:ascii="Arial Narrow" w:eastAsia="Arial Narrow" w:hAnsi="Arial Narrow" w:cs="Arial Narrow"/>
                <w:sz w:val="20"/>
                <w:szCs w:val="20"/>
              </w:rPr>
              <w:lastRenderedPageBreak/>
              <w:t>El 17 de octubre se llevó a cabo la reunión de capacitación titulada “Riesgo del Trabajo Infantil y el Sello SELTI”, dirigida al Equipo Técnico del Proyecto FOLUR y a funcionarios/as de la DGEFA. La actividad se desarrolló en el marco de las salvaguardas sociales y ambientales del proyecto, con el propósito de fortalecer capacidades institucionales y prevenir riesgos asociados al trabajo infantil en intervencione</w:t>
            </w:r>
            <w:r w:rsidRPr="001B3CCC">
              <w:rPr>
                <w:rFonts w:ascii="Arial Narrow" w:eastAsia="Arial Narrow" w:hAnsi="Arial Narrow" w:cs="Arial Narrow"/>
                <w:sz w:val="20"/>
                <w:szCs w:val="20"/>
              </w:rPr>
              <w:lastRenderedPageBreak/>
              <w:t xml:space="preserve">s productivas, especialmente en el ámbito agrícola. </w:t>
            </w:r>
          </w:p>
          <w:p w14:paraId="41646940" w14:textId="4DD946A7" w:rsidR="001B3CCC" w:rsidRPr="00DE692F" w:rsidRDefault="001B3CCC" w:rsidP="001B3CCC">
            <w:pPr>
              <w:spacing w:before="144" w:after="0"/>
              <w:rPr>
                <w:rFonts w:ascii="Arial Narrow" w:eastAsia="Arial Narrow" w:hAnsi="Arial Narrow" w:cs="Arial Narrow"/>
                <w:sz w:val="20"/>
                <w:szCs w:val="20"/>
              </w:rPr>
            </w:pPr>
            <w:r w:rsidRPr="001B3CCC">
              <w:rPr>
                <w:rFonts w:ascii="Arial Narrow" w:eastAsia="Arial Narrow" w:hAnsi="Arial Narrow" w:cs="Arial Narrow"/>
                <w:sz w:val="20"/>
                <w:szCs w:val="20"/>
              </w:rPr>
              <w:t xml:space="preserve">En términos generales, la capacitación permitió fortalecer el conocimiento técnico del equipo del Proyecto FOLUR y de la DGEFA respecto a la problemática del trabajo infantil, su marco normativo y las herramientas disponibles para su prevención. Asimismo, reafirmó el compromiso institucional de integrar criterios de protección de derechos en la </w:t>
            </w:r>
            <w:r w:rsidRPr="001B3CCC">
              <w:rPr>
                <w:rFonts w:ascii="Arial Narrow" w:eastAsia="Arial Narrow" w:hAnsi="Arial Narrow" w:cs="Arial Narrow"/>
                <w:sz w:val="20"/>
                <w:szCs w:val="20"/>
              </w:rPr>
              <w:lastRenderedPageBreak/>
              <w:t>implementación de proyectos ambientales y productivos, promoviendo entornos laborales libres de trabajo infantil y alineados con los estándares nacionales e internacionales.</w:t>
            </w:r>
          </w:p>
          <w:p w14:paraId="293682D8"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Responsable:UGP del Proyecto</w:t>
            </w:r>
          </w:p>
        </w:tc>
        <w:tc>
          <w:tcPr>
            <w:tcW w:w="1230" w:type="dxa"/>
            <w:vMerge w:val="restart"/>
            <w:vAlign w:val="center"/>
          </w:tcPr>
          <w:p w14:paraId="2B46538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43FEA78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El trabajo infantil es más evidente en el contexto rural. Se concentra en sectores como: la agricultura, la pesca y la minería. En las zonas objetivo del Proyecto, Cajamarca tiene la tasa más alta </w:t>
            </w:r>
            <w:r w:rsidRPr="00DE692F">
              <w:rPr>
                <w:rFonts w:ascii="Arial Narrow" w:eastAsia="Arial Narrow" w:hAnsi="Arial Narrow" w:cs="Arial Narrow"/>
                <w:sz w:val="20"/>
                <w:szCs w:val="20"/>
              </w:rPr>
              <w:lastRenderedPageBreak/>
              <w:t xml:space="preserve">(25,5%), seguida de Amazonas (18%), Loreto (11,2%) y San Martín (6,6%). Hubo una reducción general de las tasas de trabajo infantil en 2012- 2015, reducción que fue menor en la Sierra (MTPE/OIT, 2016). 10 Sin embargo, la CEPAL/OIT (2020) advierte que la crisis económica generada por el coronavirus podría incrementar el trabajo infantil porque las tasas de trabajo infantil aumentarán. En Perú, este riesgo se incrementa por el cierre de escuelas que podría aumentar la disponibilidad de mano de obra barata para la agricultura. 11,12 La normativa peruana sobre trabajo infantil13 prohíbe los trabajos agrícolas que requieran el </w:t>
            </w:r>
            <w:r w:rsidRPr="00DE692F">
              <w:rPr>
                <w:rFonts w:ascii="Arial Narrow" w:eastAsia="Arial Narrow" w:hAnsi="Arial Narrow" w:cs="Arial Narrow"/>
                <w:sz w:val="20"/>
                <w:szCs w:val="20"/>
              </w:rPr>
              <w:lastRenderedPageBreak/>
              <w:t>contacto y/o la exposición a productos químicos, sustancias tóxicas o corrosivas e inflamables.</w:t>
            </w:r>
          </w:p>
          <w:p w14:paraId="1B6D9ED7" w14:textId="77777777" w:rsidR="00973680" w:rsidRPr="00DE692F" w:rsidRDefault="00973680" w:rsidP="001F5831">
            <w:pPr>
              <w:spacing w:before="144" w:after="144"/>
              <w:rPr>
                <w:rFonts w:ascii="Arial Narrow" w:eastAsia="Arial Narrow" w:hAnsi="Arial Narrow" w:cs="Arial Narrow"/>
                <w:sz w:val="20"/>
                <w:szCs w:val="20"/>
              </w:rPr>
            </w:pPr>
          </w:p>
          <w:p w14:paraId="57736BCE" w14:textId="77777777" w:rsidR="00973680" w:rsidRPr="00DE692F" w:rsidRDefault="00973680" w:rsidP="001F5831">
            <w:pPr>
              <w:spacing w:before="144" w:after="144"/>
              <w:rPr>
                <w:rFonts w:ascii="Arial Narrow" w:eastAsia="Arial Narrow" w:hAnsi="Arial Narrow" w:cs="Arial Narrow"/>
                <w:sz w:val="20"/>
                <w:szCs w:val="20"/>
                <w:highlight w:val="magenta"/>
              </w:rPr>
            </w:pPr>
            <w:r w:rsidRPr="00DE692F">
              <w:rPr>
                <w:rFonts w:ascii="Arial Narrow" w:eastAsia="Arial Narrow" w:hAnsi="Arial Narrow" w:cs="Arial Narrow"/>
                <w:sz w:val="20"/>
                <w:szCs w:val="20"/>
              </w:rPr>
              <w:t>Este riesgo actualmente no se encuentra considerados</w:t>
            </w:r>
          </w:p>
        </w:tc>
      </w:tr>
      <w:tr w:rsidR="00973680" w:rsidRPr="00DE692F" w14:paraId="3728023A" w14:textId="77777777" w:rsidTr="001F5831">
        <w:trPr>
          <w:trHeight w:val="698"/>
        </w:trPr>
        <w:tc>
          <w:tcPr>
            <w:tcW w:w="570" w:type="dxa"/>
            <w:vMerge/>
            <w:vAlign w:val="center"/>
          </w:tcPr>
          <w:p w14:paraId="2E0A619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F4EE27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7053667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4A8FD97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0B97C25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580852D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Impacto:5</w:t>
            </w:r>
          </w:p>
        </w:tc>
        <w:tc>
          <w:tcPr>
            <w:tcW w:w="1365" w:type="dxa"/>
            <w:vMerge/>
            <w:vAlign w:val="center"/>
          </w:tcPr>
          <w:p w14:paraId="525EA88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1474BD4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5D8F26E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7D3AC3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6E831E2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1F4E25BF" w14:textId="77777777" w:rsidTr="001F5831">
        <w:trPr>
          <w:trHeight w:val="698"/>
        </w:trPr>
        <w:tc>
          <w:tcPr>
            <w:tcW w:w="570" w:type="dxa"/>
            <w:vMerge/>
            <w:vAlign w:val="center"/>
          </w:tcPr>
          <w:p w14:paraId="14EA38E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896850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41797E4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6CEF7BC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3A6C94C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72937592"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1E124A7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EC07F5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79E215F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71711A5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1B0B65D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E92FAD3" w14:textId="77777777" w:rsidTr="001F5831">
        <w:trPr>
          <w:trHeight w:val="698"/>
        </w:trPr>
        <w:tc>
          <w:tcPr>
            <w:tcW w:w="570" w:type="dxa"/>
            <w:vMerge w:val="restart"/>
            <w:vAlign w:val="center"/>
          </w:tcPr>
          <w:p w14:paraId="140ADEEA"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7</w:t>
            </w:r>
          </w:p>
        </w:tc>
        <w:tc>
          <w:tcPr>
            <w:tcW w:w="1875" w:type="dxa"/>
            <w:vMerge w:val="restart"/>
            <w:vAlign w:val="center"/>
          </w:tcPr>
          <w:p w14:paraId="0016784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Los conflictos existentes relacionados con el uso y/o la propiedad de la tierra (incluidos los conflictos en tierras indígenas) podrían exacerbarse o reavivarse con las intervenciones previstas en el proyecto.</w:t>
            </w:r>
          </w:p>
        </w:tc>
        <w:tc>
          <w:tcPr>
            <w:tcW w:w="2010" w:type="dxa"/>
            <w:vMerge w:val="restart"/>
            <w:vAlign w:val="center"/>
          </w:tcPr>
          <w:p w14:paraId="7910D0EB"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En Amazonas el avance de la frontera agrícola vinculada a los cultivos de temporada está afectando a los territorios Awajún y el alquiler de tierras comunales para la agricultura.</w:t>
            </w:r>
          </w:p>
          <w:p w14:paraId="152BD01F"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San Martín/En el eje vial del Alto Mayo, en las provincias de Moyobamba y Rioja, los Awajún han alquilado sus tierras comunales a </w:t>
            </w:r>
            <w:r w:rsidRPr="00DE692F">
              <w:rPr>
                <w:rFonts w:ascii="Arial Narrow" w:eastAsia="Arial Narrow" w:hAnsi="Arial Narrow" w:cs="Arial Narrow"/>
                <w:sz w:val="20"/>
                <w:szCs w:val="20"/>
              </w:rPr>
              <w:lastRenderedPageBreak/>
              <w:t xml:space="preserve">colonos para cultivos permanentes y estacionales. </w:t>
            </w:r>
          </w:p>
          <w:p w14:paraId="4CDBE30B"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Loreto / En el eje vial Yurimaguas-Puerto Arica Balsapuerto, avanzan grandes plantaciones de palma. </w:t>
            </w:r>
          </w:p>
          <w:p w14:paraId="2AA1F62A"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En estos tres casos, los productores mestizos alquilan las tierras comunales a los pueblos indígenas.</w:t>
            </w:r>
          </w:p>
        </w:tc>
        <w:tc>
          <w:tcPr>
            <w:tcW w:w="1635" w:type="dxa"/>
            <w:vMerge w:val="restart"/>
            <w:vAlign w:val="center"/>
          </w:tcPr>
          <w:p w14:paraId="226D629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Los conflictos existentes relacionados con el uso y/o la propiedad de la tierra (incluidos los conflictos en tierras indígenas) podrían exacerbarse o reavivarse con las intervenciones previstas en el proyecto.</w:t>
            </w:r>
          </w:p>
        </w:tc>
        <w:tc>
          <w:tcPr>
            <w:tcW w:w="1305" w:type="dxa"/>
            <w:vMerge w:val="restart"/>
            <w:vAlign w:val="center"/>
          </w:tcPr>
          <w:p w14:paraId="596B9FE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1.1, 1.9</w:t>
            </w:r>
          </w:p>
        </w:tc>
        <w:tc>
          <w:tcPr>
            <w:tcW w:w="1305" w:type="dxa"/>
            <w:vAlign w:val="center"/>
          </w:tcPr>
          <w:p w14:paraId="10E16BF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4</w:t>
            </w:r>
          </w:p>
        </w:tc>
        <w:tc>
          <w:tcPr>
            <w:tcW w:w="1365" w:type="dxa"/>
            <w:vMerge w:val="restart"/>
            <w:vAlign w:val="center"/>
          </w:tcPr>
          <w:p w14:paraId="32F75B1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566E46F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UGP del proyecto </w:t>
            </w:r>
          </w:p>
        </w:tc>
        <w:tc>
          <w:tcPr>
            <w:tcW w:w="1200" w:type="dxa"/>
            <w:vMerge w:val="restart"/>
            <w:vAlign w:val="center"/>
          </w:tcPr>
          <w:p w14:paraId="5FA541C1" w14:textId="77777777" w:rsidR="00973680" w:rsidRPr="00DE692F" w:rsidRDefault="00973680" w:rsidP="001F5831">
            <w:pPr>
              <w:spacing w:after="0"/>
              <w:rPr>
                <w:rFonts w:ascii="Arial Narrow" w:eastAsia="Calibri" w:hAnsi="Arial Narrow" w:cs="Calibri"/>
                <w:sz w:val="20"/>
                <w:szCs w:val="20"/>
              </w:rPr>
            </w:pPr>
          </w:p>
          <w:p w14:paraId="61D862A7" w14:textId="77777777" w:rsidR="00973680" w:rsidRPr="00DE692F" w:rsidRDefault="00973680" w:rsidP="001F5831">
            <w:pPr>
              <w:spacing w:after="0"/>
              <w:rPr>
                <w:rFonts w:ascii="Arial Narrow" w:eastAsia="Calibri" w:hAnsi="Arial Narrow" w:cs="Calibri"/>
                <w:sz w:val="20"/>
                <w:szCs w:val="20"/>
              </w:rPr>
            </w:pPr>
          </w:p>
          <w:p w14:paraId="454D7CD4" w14:textId="77777777" w:rsidR="00973680" w:rsidRPr="00DE692F" w:rsidRDefault="00973680" w:rsidP="001F5831">
            <w:pPr>
              <w:spacing w:before="144" w:after="0"/>
              <w:rPr>
                <w:rFonts w:ascii="Arial Narrow" w:eastAsia="Calibri" w:hAnsi="Arial Narrow" w:cs="Calibri"/>
                <w:sz w:val="20"/>
                <w:szCs w:val="20"/>
              </w:rPr>
            </w:pPr>
            <w:r w:rsidRPr="00DE692F">
              <w:rPr>
                <w:rFonts w:ascii="Arial Narrow" w:eastAsia="Arial Narrow" w:hAnsi="Arial Narrow" w:cs="Arial Narrow"/>
                <w:sz w:val="20"/>
                <w:szCs w:val="20"/>
              </w:rPr>
              <w:t>Tratamiento del riesgo 7:</w:t>
            </w:r>
          </w:p>
          <w:p w14:paraId="48BABAE4" w14:textId="77777777" w:rsidR="00973680" w:rsidRPr="00DE692F" w:rsidRDefault="00973680" w:rsidP="001F5831">
            <w:pPr>
              <w:spacing w:after="0"/>
              <w:rPr>
                <w:rFonts w:ascii="Arial Narrow" w:eastAsia="Calibri" w:hAnsi="Arial Narrow" w:cs="Calibri"/>
                <w:sz w:val="20"/>
                <w:szCs w:val="20"/>
              </w:rPr>
            </w:pPr>
          </w:p>
          <w:p w14:paraId="3EA0898E" w14:textId="41E8D681"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 xml:space="preserve">Actualmente el equipo del Proyecto está apoyando el modelo CCUSAF, </w:t>
            </w:r>
            <w:r w:rsidR="007E5792">
              <w:rPr>
                <w:rFonts w:ascii="Arial Narrow" w:eastAsia="Calibri" w:hAnsi="Arial Narrow" w:cs="Calibri"/>
                <w:sz w:val="20"/>
                <w:szCs w:val="20"/>
              </w:rPr>
              <w:t>que</w:t>
            </w:r>
            <w:r w:rsidRPr="00DE692F">
              <w:rPr>
                <w:rFonts w:ascii="Arial Narrow" w:eastAsia="Calibri" w:hAnsi="Arial Narrow" w:cs="Calibri"/>
                <w:sz w:val="20"/>
                <w:szCs w:val="20"/>
              </w:rPr>
              <w:t xml:space="preserve"> constituye una </w:t>
            </w:r>
            <w:r w:rsidRPr="00DE692F">
              <w:rPr>
                <w:rFonts w:ascii="Arial Narrow" w:eastAsia="Calibri" w:hAnsi="Arial Narrow" w:cs="Calibri"/>
                <w:sz w:val="20"/>
                <w:szCs w:val="20"/>
              </w:rPr>
              <w:lastRenderedPageBreak/>
              <w:t xml:space="preserve">oportunidad para formalizar mediante contratos entre SERFOR Y pequeños productores bajo condiciones de ocupación y uso sostenible.El equipo de la UGP del Proyecto ha tenido reuniones con OSINFOR y SERFOR, en este espacio se identificó la opción  de apoyar en la región de Cajamarca, provincia de San Ignacio el proceso CCUSAF y se organizó un entrenamiento en la Mochila </w:t>
            </w:r>
            <w:r w:rsidRPr="00DE692F">
              <w:rPr>
                <w:rFonts w:ascii="Arial Narrow" w:eastAsia="Calibri" w:hAnsi="Arial Narrow" w:cs="Calibri"/>
                <w:sz w:val="20"/>
                <w:szCs w:val="20"/>
              </w:rPr>
              <w:lastRenderedPageBreak/>
              <w:t>Forestal CCUSAF (del 27 al 29 de nov)</w:t>
            </w:r>
          </w:p>
          <w:p w14:paraId="2FC9E66D"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Calibri" w:hAnsi="Arial Narrow" w:cs="Calibri"/>
                <w:sz w:val="20"/>
                <w:szCs w:val="20"/>
              </w:rPr>
              <w:t xml:space="preserve">El proyecto brinda soporte, al proceso de levantamiento de información mencionado, a través de la contratación de un equipo técnico (SAF, SIG y 02 técnicos de campo) y equipo tecnológico (GPS). Se ha brindado al equipo de consultores una inducción sobre salvaguardas sociales y ambientales y de género el día 18.12.24. Precisamente a fin de asegurarnos </w:t>
            </w:r>
            <w:r w:rsidRPr="00DE692F">
              <w:rPr>
                <w:rFonts w:ascii="Arial Narrow" w:eastAsia="Calibri" w:hAnsi="Arial Narrow" w:cs="Calibri"/>
                <w:sz w:val="20"/>
                <w:szCs w:val="20"/>
              </w:rPr>
              <w:lastRenderedPageBreak/>
              <w:t>que el apoyo de los CCUSAF no genere ninguna sobreposición o genere algún conflicto de sobreposición, el Estado en ese sentido junto con los GORES tienen un rol fundamental.</w:t>
            </w:r>
          </w:p>
          <w:p w14:paraId="31F52148" w14:textId="46818BCD" w:rsidR="00BD20CD" w:rsidRPr="00DE692F" w:rsidRDefault="00BD20CD" w:rsidP="00BD20CD">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implementó una reunión informativa de socialización sobre los nuevos polígonos CUSSAF que el proyecto   financiará parcialmente en Yurimaguas Loreto en el marco del Componente 1 en el que se recogieron </w:t>
            </w:r>
            <w:r w:rsidRPr="00DE692F">
              <w:rPr>
                <w:rFonts w:ascii="Arial Narrow" w:eastAsia="Arial Narrow" w:hAnsi="Arial Narrow" w:cs="Arial Narrow"/>
                <w:sz w:val="20"/>
                <w:szCs w:val="20"/>
              </w:rPr>
              <w:lastRenderedPageBreak/>
              <w:t>aportes y precisiones de las organizaciones indígenas de CORPI SL- y ORDEPIAA a fin de evitar sobreposiciones con el</w:t>
            </w:r>
            <w:r w:rsidRPr="00DE692F">
              <w:t xml:space="preserve"> </w:t>
            </w:r>
            <w:r w:rsidRPr="00DE692F">
              <w:rPr>
                <w:rFonts w:ascii="Arial Narrow" w:eastAsia="Arial Narrow" w:hAnsi="Arial Narrow" w:cs="Arial Narrow"/>
                <w:sz w:val="20"/>
                <w:szCs w:val="20"/>
              </w:rPr>
              <w:t>territorio de las CCNN.</w:t>
            </w:r>
          </w:p>
          <w:p w14:paraId="2EB0EE5B" w14:textId="54B4E0FD" w:rsidR="00BD20CD" w:rsidRPr="00DE692F" w:rsidRDefault="00BD20CD" w:rsidP="00BD20CD">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desarrollarán reuniones en Cajamarca con participación de Áreas de conservación del mosaico (con quien se viene coordinando) a fin de socializar el polígono CUSSAF que apoyará el proyecto a solicitud de una precisión de información sobre los nuevos </w:t>
            </w:r>
            <w:r w:rsidRPr="00DE692F">
              <w:rPr>
                <w:rFonts w:ascii="Arial Narrow" w:eastAsia="Arial Narrow" w:hAnsi="Arial Narrow" w:cs="Arial Narrow"/>
                <w:sz w:val="20"/>
                <w:szCs w:val="20"/>
              </w:rPr>
              <w:lastRenderedPageBreak/>
              <w:t>polígonos CUSSAF en Cajamarca de las ACR. A pesar de haber lineamientos claros el proyecto facilitará</w:t>
            </w:r>
            <w:r w:rsidRPr="00DE692F">
              <w:t xml:space="preserve"> </w:t>
            </w:r>
            <w:r w:rsidRPr="00DE692F">
              <w:rPr>
                <w:rFonts w:ascii="Arial Narrow" w:eastAsia="Arial Narrow" w:hAnsi="Arial Narrow" w:cs="Arial Narrow"/>
                <w:sz w:val="20"/>
                <w:szCs w:val="20"/>
              </w:rPr>
              <w:t>espacios de dialogo.</w:t>
            </w:r>
          </w:p>
          <w:p w14:paraId="33183598" w14:textId="77777777" w:rsidR="00BD20CD" w:rsidRPr="00DE692F" w:rsidRDefault="00BD20CD" w:rsidP="00BD20CD">
            <w:pPr>
              <w:spacing w:before="144" w:after="0"/>
              <w:rPr>
                <w:rFonts w:ascii="Arial Narrow" w:eastAsia="Arial Narrow" w:hAnsi="Arial Narrow" w:cs="Arial Narrow"/>
                <w:sz w:val="20"/>
                <w:szCs w:val="20"/>
              </w:rPr>
            </w:pPr>
          </w:p>
          <w:p w14:paraId="08FAE3CF"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1C0228A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19DD9DA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Debido a la naturaleza relativa del término "indígena" este se considera un concepto amplio. (Puede incluir tribus, primeros pueblos/naciones, aborígenes, grupos étnicos, grupos relacionados con la ocupación y la geografía como cazadores </w:t>
            </w:r>
            <w:r w:rsidRPr="00DE692F">
              <w:rPr>
                <w:rFonts w:ascii="Arial Narrow" w:eastAsia="Arial Narrow" w:hAnsi="Arial Narrow" w:cs="Arial Narrow"/>
                <w:sz w:val="20"/>
                <w:szCs w:val="20"/>
              </w:rPr>
              <w:lastRenderedPageBreak/>
              <w:t>recolectores, nómadas, campesinos, montañeses, etc.) , también se consideran a todos los efectos prácticos como "pueblos indígenas".</w:t>
            </w:r>
          </w:p>
          <w:p w14:paraId="65F6D2FB"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Este riesgo no está cubierto por los requisitos legales nacionales para llevar a cabo las actividades del proyecto y/o cuando los requisitos están en vigor hay indicios de que se han aplicado de forma inconsistente al nivel del SES del PNUD.</w:t>
            </w:r>
          </w:p>
          <w:p w14:paraId="4908DEEB"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Amazonas /Los conflictos territoriales de los pueblos indígenas se concentran en Bagua-Nieva, Saramiriza, en las provincias de Bagua y Condorcanqui. El avance de la frontera agrícola </w:t>
            </w:r>
            <w:r w:rsidRPr="00DE692F">
              <w:rPr>
                <w:rFonts w:ascii="Arial Narrow" w:eastAsia="Arial Narrow" w:hAnsi="Arial Narrow" w:cs="Arial Narrow"/>
                <w:sz w:val="20"/>
                <w:szCs w:val="20"/>
              </w:rPr>
              <w:lastRenderedPageBreak/>
              <w:t>vinculada a los cultivos de temporada está afectando a los territorios Awajún por los migrantes y el alquiler de tierras comunales para la agricultura.</w:t>
            </w:r>
          </w:p>
          <w:p w14:paraId="745CC13F"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 San Martín/En el eje vial del Alto Mayo, en las provincias de Moyobamba y Rioja, los Awajún han alquilado sus tierras comunales a colonos para cultivos permanentes y estacionales. </w:t>
            </w:r>
          </w:p>
          <w:p w14:paraId="256E92F6"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Loreto / En el eje vial Yurimaguas-Puerto Arica Balsapuerto, avanzan grandes plantaciones de palma. </w:t>
            </w:r>
          </w:p>
          <w:p w14:paraId="1E08B1A0"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En estos tres casos, los productores mestizos alquilan las tierras comunales a los pueblos indígenas.</w:t>
            </w:r>
          </w:p>
        </w:tc>
      </w:tr>
      <w:tr w:rsidR="00973680" w:rsidRPr="00DE692F" w14:paraId="461C95E8" w14:textId="77777777" w:rsidTr="001F5831">
        <w:trPr>
          <w:trHeight w:val="698"/>
        </w:trPr>
        <w:tc>
          <w:tcPr>
            <w:tcW w:w="570" w:type="dxa"/>
            <w:vMerge/>
            <w:vAlign w:val="center"/>
          </w:tcPr>
          <w:p w14:paraId="77AD573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4FF83F7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01A7613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0D49628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5355D64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F0AED4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013C84E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9C40EF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17E697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29A1539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D0F7C3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747AACE" w14:textId="77777777" w:rsidTr="001F5831">
        <w:trPr>
          <w:trHeight w:val="698"/>
        </w:trPr>
        <w:tc>
          <w:tcPr>
            <w:tcW w:w="570" w:type="dxa"/>
            <w:vMerge/>
            <w:vAlign w:val="center"/>
          </w:tcPr>
          <w:p w14:paraId="51AFB5E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CE249D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70379EA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20CEA64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32CD55B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0A5D6316"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3BAEF92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4299A69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1B998D2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6CC9133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78F417F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3C9A1F50" w14:textId="77777777" w:rsidTr="001F5831">
        <w:trPr>
          <w:trHeight w:val="698"/>
        </w:trPr>
        <w:tc>
          <w:tcPr>
            <w:tcW w:w="570" w:type="dxa"/>
            <w:vMerge w:val="restart"/>
            <w:vAlign w:val="center"/>
          </w:tcPr>
          <w:p w14:paraId="23707F7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8</w:t>
            </w:r>
          </w:p>
        </w:tc>
        <w:tc>
          <w:tcPr>
            <w:tcW w:w="1875" w:type="dxa"/>
            <w:vMerge w:val="restart"/>
            <w:vAlign w:val="center"/>
          </w:tcPr>
          <w:p w14:paraId="2DD7083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 posible que las actividades y los enfoques del proyecto no incorporen o reflejan completamente los puntos de vista de las mujeres y sus preocupaciones en materia de igualdad de género en el proceso de participación en el proyecto, a fin de garantizar oportunidades equitativas para su participación y acceso a los beneficios.</w:t>
            </w:r>
          </w:p>
        </w:tc>
        <w:tc>
          <w:tcPr>
            <w:tcW w:w="2010" w:type="dxa"/>
            <w:vMerge w:val="restart"/>
            <w:vAlign w:val="center"/>
          </w:tcPr>
          <w:p w14:paraId="2D6410B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el sector agrícola, la participación y la contribución de las mujeres han sido invisibles y no se han reconocido, lo que ha contribuido a ampliar las diferencias en el acceso y el control de los servicios y los recursos naturales, y a una participación desigual en la toma de decisiones relacionadas con la planificación medioambiental y todos los niveles de gobernanza. Las asociaciones y </w:t>
            </w:r>
            <w:r w:rsidRPr="00DE692F">
              <w:rPr>
                <w:rFonts w:ascii="Arial Narrow" w:eastAsia="Arial Narrow" w:hAnsi="Arial Narrow" w:cs="Arial Narrow"/>
                <w:sz w:val="20"/>
                <w:szCs w:val="20"/>
              </w:rPr>
              <w:lastRenderedPageBreak/>
              <w:t>cooperativas están compuestas principalmente por hombres, y la presencia de mujeres miembros oscila entre el 10% y el 27%.15</w:t>
            </w:r>
          </w:p>
        </w:tc>
        <w:tc>
          <w:tcPr>
            <w:tcW w:w="1635" w:type="dxa"/>
            <w:vMerge w:val="restart"/>
            <w:vAlign w:val="center"/>
          </w:tcPr>
          <w:p w14:paraId="72E1D5F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Es posible que las actividades y los enfoques del proyecto no incorporen o reflejen completamente los puntos de vista de las mujeres y sus preocupaciones.</w:t>
            </w:r>
          </w:p>
        </w:tc>
        <w:tc>
          <w:tcPr>
            <w:tcW w:w="1305" w:type="dxa"/>
            <w:vMerge w:val="restart"/>
            <w:vAlign w:val="center"/>
          </w:tcPr>
          <w:p w14:paraId="5CD9E88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1.2</w:t>
            </w:r>
          </w:p>
        </w:tc>
        <w:tc>
          <w:tcPr>
            <w:tcW w:w="1305" w:type="dxa"/>
            <w:vAlign w:val="center"/>
          </w:tcPr>
          <w:p w14:paraId="2EBB4D4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628F7CE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35B7459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52F4A67D" w14:textId="355551BC"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Tratamiento del riesgo 8: </w:t>
            </w:r>
            <w:commentRangeStart w:id="6"/>
            <w:commentRangeStart w:id="7"/>
            <w:r w:rsidRPr="00DE692F">
              <w:rPr>
                <w:rFonts w:ascii="Arial Narrow" w:eastAsia="Arial Narrow" w:hAnsi="Arial Narrow" w:cs="Arial Narrow"/>
                <w:sz w:val="20"/>
                <w:szCs w:val="20"/>
              </w:rPr>
              <w:t>Se han tenido reuniones técnicas para la revisión de</w:t>
            </w:r>
            <w:r w:rsidR="00A205F4">
              <w:rPr>
                <w:rFonts w:ascii="Arial Narrow" w:eastAsia="Arial Narrow" w:hAnsi="Arial Narrow" w:cs="Arial Narrow"/>
                <w:sz w:val="20"/>
                <w:szCs w:val="20"/>
              </w:rPr>
              <w:t xml:space="preserve"> </w:t>
            </w:r>
            <w:r w:rsidRPr="00DE692F">
              <w:rPr>
                <w:rFonts w:ascii="Arial Narrow" w:eastAsia="Arial Narrow" w:hAnsi="Arial Narrow" w:cs="Arial Narrow"/>
                <w:sz w:val="20"/>
                <w:szCs w:val="20"/>
              </w:rPr>
              <w:t>l</w:t>
            </w:r>
            <w:r w:rsidR="00A205F4">
              <w:rPr>
                <w:rFonts w:ascii="Arial Narrow" w:eastAsia="Arial Narrow" w:hAnsi="Arial Narrow" w:cs="Arial Narrow"/>
                <w:sz w:val="20"/>
                <w:szCs w:val="20"/>
              </w:rPr>
              <w:t>as acciones del</w:t>
            </w:r>
            <w:r w:rsidRPr="00DE692F">
              <w:rPr>
                <w:rFonts w:ascii="Arial Narrow" w:eastAsia="Arial Narrow" w:hAnsi="Arial Narrow" w:cs="Arial Narrow"/>
                <w:sz w:val="20"/>
                <w:szCs w:val="20"/>
              </w:rPr>
              <w:t xml:space="preserve"> Plan de Acción de Género con la especialista de género </w:t>
            </w:r>
            <w:r w:rsidR="00516E84">
              <w:rPr>
                <w:rFonts w:ascii="Arial Narrow" w:eastAsia="Arial Narrow" w:hAnsi="Arial Narrow" w:cs="Arial Narrow"/>
                <w:sz w:val="20"/>
                <w:szCs w:val="20"/>
              </w:rPr>
              <w:t xml:space="preserve">y el equipo del proyecto, con la finalidad de recoger aportes y </w:t>
            </w:r>
            <w:r w:rsidR="00A205F4">
              <w:rPr>
                <w:rFonts w:ascii="Arial Narrow" w:eastAsia="Arial Narrow" w:hAnsi="Arial Narrow" w:cs="Arial Narrow"/>
                <w:sz w:val="20"/>
                <w:szCs w:val="20"/>
              </w:rPr>
              <w:lastRenderedPageBreak/>
              <w:t>mejorar la implementación</w:t>
            </w:r>
            <w:r w:rsidRPr="00DE692F">
              <w:rPr>
                <w:rFonts w:ascii="Arial Narrow" w:eastAsia="Arial Narrow" w:hAnsi="Arial Narrow" w:cs="Arial Narrow"/>
                <w:sz w:val="20"/>
                <w:szCs w:val="20"/>
              </w:rPr>
              <w:t>.</w:t>
            </w:r>
            <w:commentRangeEnd w:id="6"/>
            <w:r w:rsidR="0087187D" w:rsidRPr="00DE692F">
              <w:rPr>
                <w:rStyle w:val="Refdecomentario"/>
                <w:rFonts w:ascii="Arial Narrow" w:eastAsia="Arial Narrow" w:hAnsi="Arial Narrow" w:cs="Arial Narrow"/>
                <w:sz w:val="20"/>
                <w:szCs w:val="20"/>
              </w:rPr>
              <w:commentReference w:id="6"/>
            </w:r>
            <w:commentRangeEnd w:id="7"/>
            <w:r w:rsidR="006739CE" w:rsidRPr="00DE692F">
              <w:rPr>
                <w:rStyle w:val="Refdecomentario"/>
                <w:rFonts w:ascii="Arial Narrow" w:eastAsia="Arial Narrow" w:hAnsi="Arial Narrow" w:cs="Arial Narrow"/>
                <w:sz w:val="20"/>
                <w:szCs w:val="20"/>
              </w:rPr>
              <w:commentReference w:id="7"/>
            </w:r>
          </w:p>
          <w:p w14:paraId="0EA3E8F2" w14:textId="77777777" w:rsidR="00973680" w:rsidRPr="00DE692F" w:rsidRDefault="00973680" w:rsidP="001F5831">
            <w:pPr>
              <w:spacing w:before="144" w:after="0"/>
              <w:rPr>
                <w:rFonts w:ascii="Arial Narrow" w:eastAsia="Arial Narrow" w:hAnsi="Arial Narrow" w:cs="Arial Narrow"/>
                <w:sz w:val="20"/>
                <w:szCs w:val="20"/>
              </w:rPr>
            </w:pPr>
          </w:p>
          <w:p w14:paraId="71527B42" w14:textId="77B1DBCE" w:rsidR="00973680" w:rsidRPr="00DE692F" w:rsidRDefault="001972E1"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 xml:space="preserve">El 2024, </w:t>
            </w:r>
            <w:commentRangeStart w:id="8"/>
            <w:commentRangeStart w:id="9"/>
            <w:r w:rsidR="00973680" w:rsidRPr="00DE692F">
              <w:rPr>
                <w:rFonts w:ascii="Arial Narrow" w:eastAsia="Arial Narrow" w:hAnsi="Arial Narrow" w:cs="Arial Narrow"/>
                <w:sz w:val="20"/>
                <w:szCs w:val="20"/>
              </w:rPr>
              <w:t xml:space="preserve"> se </w:t>
            </w:r>
            <w:r>
              <w:rPr>
                <w:rFonts w:ascii="Arial Narrow" w:eastAsia="Arial Narrow" w:hAnsi="Arial Narrow" w:cs="Arial Narrow"/>
                <w:sz w:val="20"/>
                <w:szCs w:val="20"/>
              </w:rPr>
              <w:t>realizó</w:t>
            </w:r>
            <w:r w:rsidR="00973680" w:rsidRPr="00DE692F">
              <w:rPr>
                <w:rFonts w:ascii="Arial Narrow" w:eastAsia="Arial Narrow" w:hAnsi="Arial Narrow" w:cs="Arial Narrow"/>
                <w:sz w:val="20"/>
                <w:szCs w:val="20"/>
              </w:rPr>
              <w:t xml:space="preserve"> un Análisis de Género</w:t>
            </w:r>
            <w:commentRangeEnd w:id="8"/>
            <w:r w:rsidR="0087187D" w:rsidRPr="00DE692F">
              <w:rPr>
                <w:rStyle w:val="Refdecomentario"/>
                <w:rFonts w:ascii="Arial Narrow" w:eastAsia="Arial Narrow" w:hAnsi="Arial Narrow" w:cs="Arial Narrow"/>
                <w:sz w:val="20"/>
                <w:szCs w:val="20"/>
              </w:rPr>
              <w:commentReference w:id="8"/>
            </w:r>
            <w:commentRangeEnd w:id="9"/>
            <w:r w:rsidR="006739CE" w:rsidRPr="00DE692F">
              <w:rPr>
                <w:rStyle w:val="Refdecomentario"/>
                <w:rFonts w:ascii="Arial Narrow" w:eastAsia="Arial Narrow" w:hAnsi="Arial Narrow" w:cs="Arial Narrow"/>
                <w:sz w:val="20"/>
                <w:szCs w:val="20"/>
              </w:rPr>
              <w:commentReference w:id="9"/>
            </w:r>
            <w:r w:rsidR="00BD20CD" w:rsidRPr="00DE692F">
              <w:rPr>
                <w:rFonts w:ascii="Arial Narrow" w:eastAsia="Arial Narrow" w:hAnsi="Arial Narrow" w:cs="Arial Narrow"/>
                <w:sz w:val="20"/>
                <w:szCs w:val="20"/>
              </w:rPr>
              <w:t xml:space="preserve"> </w:t>
            </w:r>
            <w:commentRangeStart w:id="10"/>
            <w:commentRangeStart w:id="11"/>
            <w:r w:rsidR="00973680" w:rsidRPr="00DE692F">
              <w:rPr>
                <w:rFonts w:ascii="Arial Narrow" w:eastAsia="Arial Narrow" w:hAnsi="Arial Narrow" w:cs="Arial Narrow"/>
                <w:sz w:val="20"/>
                <w:szCs w:val="20"/>
              </w:rPr>
              <w:t>sobre el rol de las mujeres en la producción de café y cacao</w:t>
            </w:r>
            <w:r w:rsidR="00BD20CD" w:rsidRPr="00DE692F">
              <w:t xml:space="preserve"> </w:t>
            </w:r>
            <w:r w:rsidR="00BD20CD" w:rsidRPr="00DE692F">
              <w:rPr>
                <w:rFonts w:ascii="Arial Narrow" w:eastAsia="Arial Narrow" w:hAnsi="Arial Narrow" w:cs="Arial Narrow"/>
                <w:sz w:val="20"/>
                <w:szCs w:val="20"/>
              </w:rPr>
              <w:t>actualiza</w:t>
            </w:r>
            <w:r w:rsidR="00516E84">
              <w:rPr>
                <w:rFonts w:ascii="Arial Narrow" w:eastAsia="Arial Narrow" w:hAnsi="Arial Narrow" w:cs="Arial Narrow"/>
                <w:sz w:val="20"/>
                <w:szCs w:val="20"/>
              </w:rPr>
              <w:t>n</w:t>
            </w:r>
            <w:r w:rsidR="00BD20CD" w:rsidRPr="00DE692F">
              <w:rPr>
                <w:rFonts w:ascii="Arial Narrow" w:eastAsia="Arial Narrow" w:hAnsi="Arial Narrow" w:cs="Arial Narrow"/>
                <w:sz w:val="20"/>
                <w:szCs w:val="20"/>
              </w:rPr>
              <w:t>do la situación y la</w:t>
            </w:r>
            <w:r w:rsidR="00973680" w:rsidRPr="00DE692F">
              <w:rPr>
                <w:rFonts w:ascii="Arial Narrow" w:eastAsia="Arial Narrow" w:hAnsi="Arial Narrow" w:cs="Arial Narrow"/>
                <w:sz w:val="20"/>
                <w:szCs w:val="20"/>
              </w:rPr>
              <w:t>.</w:t>
            </w:r>
            <w:r w:rsidR="00BD20CD" w:rsidRPr="00DE692F">
              <w:t xml:space="preserve"> </w:t>
            </w:r>
            <w:r w:rsidR="00BD20CD" w:rsidRPr="00DE692F">
              <w:rPr>
                <w:rFonts w:ascii="Arial Narrow" w:eastAsia="Arial Narrow" w:hAnsi="Arial Narrow" w:cs="Arial Narrow"/>
                <w:sz w:val="20"/>
                <w:szCs w:val="20"/>
              </w:rPr>
              <w:t>participación de las, mujeres visibilizando su estado situacional y desafíos.</w:t>
            </w:r>
            <w:r w:rsidR="00516E84">
              <w:rPr>
                <w:rFonts w:ascii="Arial Narrow" w:eastAsia="Arial Narrow" w:hAnsi="Arial Narrow" w:cs="Arial Narrow"/>
                <w:sz w:val="20"/>
                <w:szCs w:val="20"/>
              </w:rPr>
              <w:t xml:space="preserve"> Con esta información el PAG </w:t>
            </w:r>
            <w:r w:rsidR="00A205F4">
              <w:rPr>
                <w:rFonts w:ascii="Arial Narrow" w:eastAsia="Arial Narrow" w:hAnsi="Arial Narrow" w:cs="Arial Narrow"/>
                <w:sz w:val="20"/>
                <w:szCs w:val="20"/>
              </w:rPr>
              <w:t>migró de escala género sensible a género transformador</w:t>
            </w:r>
            <w:r w:rsidR="00516E84">
              <w:rPr>
                <w:rFonts w:ascii="Arial Narrow" w:eastAsia="Arial Narrow" w:hAnsi="Arial Narrow" w:cs="Arial Narrow"/>
                <w:sz w:val="20"/>
                <w:szCs w:val="20"/>
              </w:rPr>
              <w:t xml:space="preserve"> </w:t>
            </w:r>
            <w:r w:rsidR="00BD20CD" w:rsidRPr="00DE692F">
              <w:rPr>
                <w:rFonts w:ascii="Arial Narrow" w:eastAsia="Arial Narrow" w:hAnsi="Arial Narrow" w:cs="Arial Narrow"/>
                <w:sz w:val="20"/>
                <w:szCs w:val="20"/>
              </w:rPr>
              <w:t xml:space="preserve"> </w:t>
            </w:r>
            <w:r w:rsidR="00973680" w:rsidRPr="00DE692F">
              <w:rPr>
                <w:rFonts w:ascii="Arial Narrow" w:eastAsia="Arial Narrow" w:hAnsi="Arial Narrow" w:cs="Arial Narrow"/>
                <w:sz w:val="20"/>
                <w:szCs w:val="20"/>
              </w:rPr>
              <w:t xml:space="preserve"> </w:t>
            </w:r>
            <w:commentRangeEnd w:id="10"/>
            <w:r w:rsidR="00BD5B83" w:rsidRPr="00DE692F">
              <w:rPr>
                <w:rStyle w:val="Refdecomentario"/>
                <w:rFonts w:ascii="Arial Narrow" w:eastAsia="Arial Narrow" w:hAnsi="Arial Narrow" w:cs="Arial Narrow"/>
                <w:sz w:val="20"/>
                <w:szCs w:val="20"/>
              </w:rPr>
              <w:commentReference w:id="10"/>
            </w:r>
            <w:commentRangeEnd w:id="11"/>
            <w:r w:rsidRPr="00DE692F">
              <w:rPr>
                <w:rStyle w:val="Refdecomentario"/>
                <w:rFonts w:ascii="Arial Narrow" w:eastAsia="Arial Narrow" w:hAnsi="Arial Narrow" w:cs="Arial Narrow"/>
                <w:sz w:val="20"/>
                <w:szCs w:val="20"/>
              </w:rPr>
              <w:commentReference w:id="11"/>
            </w:r>
          </w:p>
          <w:p w14:paraId="79D43437" w14:textId="0F862783" w:rsidR="00973680" w:rsidRPr="00DE692F" w:rsidRDefault="00516E84"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Por ello,</w:t>
            </w:r>
            <w:r w:rsidR="001972E1">
              <w:rPr>
                <w:rFonts w:ascii="Arial Narrow" w:eastAsia="Arial Narrow" w:hAnsi="Arial Narrow" w:cs="Arial Narrow"/>
                <w:sz w:val="20"/>
                <w:szCs w:val="20"/>
              </w:rPr>
              <w:t xml:space="preserve"> con esta </w:t>
            </w:r>
            <w:r w:rsidR="001972E1">
              <w:rPr>
                <w:rFonts w:ascii="Arial Narrow" w:eastAsia="Arial Narrow" w:hAnsi="Arial Narrow" w:cs="Arial Narrow"/>
                <w:sz w:val="20"/>
                <w:szCs w:val="20"/>
              </w:rPr>
              <w:lastRenderedPageBreak/>
              <w:t>información,</w:t>
            </w:r>
            <w:r>
              <w:rPr>
                <w:rFonts w:ascii="Arial Narrow" w:eastAsia="Arial Narrow" w:hAnsi="Arial Narrow" w:cs="Arial Narrow"/>
                <w:sz w:val="20"/>
                <w:szCs w:val="20"/>
              </w:rPr>
              <w:t xml:space="preserve"> se elaboró </w:t>
            </w:r>
            <w:r w:rsidR="00973680" w:rsidRPr="00DE692F">
              <w:rPr>
                <w:rFonts w:ascii="Arial Narrow" w:eastAsia="Arial Narrow" w:hAnsi="Arial Narrow" w:cs="Arial Narrow"/>
                <w:sz w:val="20"/>
                <w:szCs w:val="20"/>
              </w:rPr>
              <w:t>una hoja de ruta para la conformación y/o fortalecimiento de una Red de Lideresas Productoras de Café y Cacao libres de deforestación.</w:t>
            </w:r>
          </w:p>
          <w:p w14:paraId="5CE4251B" w14:textId="6C70814A" w:rsidR="00973680" w:rsidRPr="00DE692F" w:rsidRDefault="00973680" w:rsidP="001F5831">
            <w:pPr>
              <w:spacing w:before="144" w:after="0"/>
              <w:rPr>
                <w:rFonts w:ascii="Arial Narrow" w:eastAsia="Arial Narrow" w:hAnsi="Arial Narrow" w:cs="Arial Narrow"/>
                <w:sz w:val="20"/>
                <w:szCs w:val="20"/>
              </w:rPr>
            </w:pPr>
            <w:commentRangeStart w:id="12"/>
            <w:commentRangeStart w:id="13"/>
            <w:r w:rsidRPr="00DE692F">
              <w:rPr>
                <w:rFonts w:ascii="Arial Narrow" w:eastAsia="Arial Narrow" w:hAnsi="Arial Narrow" w:cs="Arial Narrow"/>
                <w:sz w:val="20"/>
                <w:szCs w:val="20"/>
              </w:rPr>
              <w:t>S</w:t>
            </w:r>
            <w:r w:rsidR="001972E1">
              <w:rPr>
                <w:rFonts w:ascii="Arial Narrow" w:eastAsia="Arial Narrow" w:hAnsi="Arial Narrow" w:cs="Arial Narrow"/>
                <w:sz w:val="20"/>
                <w:szCs w:val="20"/>
              </w:rPr>
              <w:t>iendo diseñado</w:t>
            </w:r>
            <w:commentRangeEnd w:id="12"/>
            <w:r w:rsidR="005E5096">
              <w:rPr>
                <w:rStyle w:val="Refdecomentario"/>
                <w:rFonts w:ascii="Arial Narrow" w:eastAsia="Arial Narrow" w:hAnsi="Arial Narrow" w:cs="Arial Narrow"/>
                <w:sz w:val="20"/>
                <w:szCs w:val="20"/>
              </w:rPr>
              <w:commentReference w:id="12"/>
            </w:r>
            <w:commentRangeEnd w:id="13"/>
            <w:r w:rsidR="00E77D3B">
              <w:rPr>
                <w:rStyle w:val="Refdecomentario"/>
                <w:rFonts w:ascii="Arial Narrow" w:eastAsia="Arial Narrow" w:hAnsi="Arial Narrow" w:cs="Arial Narrow"/>
                <w:sz w:val="20"/>
                <w:szCs w:val="20"/>
              </w:rPr>
              <w:commentReference w:id="13"/>
            </w:r>
            <w:r w:rsidR="001972E1">
              <w:rPr>
                <w:rFonts w:ascii="Arial Narrow" w:eastAsia="Arial Narrow" w:hAnsi="Arial Narrow" w:cs="Arial Narrow"/>
                <w:sz w:val="20"/>
                <w:szCs w:val="20"/>
              </w:rPr>
              <w:t>y e implementado</w:t>
            </w:r>
            <w:r w:rsidR="007010B7">
              <w:rPr>
                <w:rFonts w:ascii="Arial Narrow" w:eastAsia="Arial Narrow" w:hAnsi="Arial Narrow" w:cs="Arial Narrow"/>
                <w:sz w:val="20"/>
                <w:szCs w:val="20"/>
              </w:rPr>
              <w:t xml:space="preserve"> el programa de liderazgo y empoderamiento para mujeres líderes. Este programa durante el 2025 alcanzó alrededor de 100 lideresas capacitadas.</w:t>
            </w:r>
          </w:p>
          <w:p w14:paraId="6B00F840" w14:textId="5AE160C0" w:rsidR="00973680" w:rsidRPr="00DE692F" w:rsidRDefault="00973680" w:rsidP="001F5831">
            <w:pPr>
              <w:spacing w:before="144" w:after="0"/>
              <w:rPr>
                <w:rFonts w:ascii="Arial Narrow" w:eastAsia="Arial Narrow" w:hAnsi="Arial Narrow" w:cs="Arial Narrow"/>
                <w:sz w:val="20"/>
                <w:szCs w:val="20"/>
              </w:rPr>
            </w:pPr>
            <w:commentRangeStart w:id="14"/>
            <w:commentRangeStart w:id="15"/>
            <w:r w:rsidRPr="00DE692F">
              <w:rPr>
                <w:rFonts w:ascii="Arial Narrow" w:eastAsia="Arial Narrow" w:hAnsi="Arial Narrow" w:cs="Arial Narrow"/>
                <w:sz w:val="20"/>
                <w:szCs w:val="20"/>
              </w:rPr>
              <w:t xml:space="preserve">Se ha socializado el plan de acción de género y </w:t>
            </w:r>
            <w:r w:rsidRPr="00DE692F">
              <w:rPr>
                <w:rFonts w:ascii="Arial Narrow" w:eastAsia="Arial Narrow" w:hAnsi="Arial Narrow" w:cs="Arial Narrow"/>
                <w:sz w:val="20"/>
                <w:szCs w:val="20"/>
              </w:rPr>
              <w:lastRenderedPageBreak/>
              <w:t>para ello se han llevado a cabo 6 reuniones con las mesas técnicas de café y cacao</w:t>
            </w:r>
          </w:p>
          <w:p w14:paraId="1F40AA36" w14:textId="7A8246A4"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(1 Lima, 1 San Martín, 2 Amazonas, 2 Cajamarca)</w:t>
            </w:r>
            <w:commentRangeEnd w:id="14"/>
            <w:r w:rsidR="00362760" w:rsidRPr="00DE692F">
              <w:rPr>
                <w:rStyle w:val="Refdecomentario"/>
                <w:sz w:val="22"/>
                <w:szCs w:val="24"/>
              </w:rPr>
              <w:commentReference w:id="14"/>
            </w:r>
            <w:commentRangeEnd w:id="15"/>
            <w:r w:rsidR="006739CE" w:rsidRPr="00DE692F">
              <w:rPr>
                <w:rStyle w:val="Refdecomentario"/>
                <w:sz w:val="22"/>
                <w:szCs w:val="24"/>
              </w:rPr>
              <w:commentReference w:id="15"/>
            </w:r>
            <w:r w:rsidR="00BD20CD" w:rsidRPr="00DE692F">
              <w:t xml:space="preserve"> </w:t>
            </w:r>
            <w:r w:rsidR="00BD20CD" w:rsidRPr="00DE692F">
              <w:rPr>
                <w:rFonts w:ascii="Arial Narrow" w:eastAsia="Arial Narrow" w:hAnsi="Arial Narrow" w:cs="Arial Narrow"/>
                <w:sz w:val="20"/>
                <w:szCs w:val="20"/>
              </w:rPr>
              <w:t>con la finalidad de promover un mayor compromiso en la incorporación de género en sus procesos y acciones que promuevan una participación efectiva de las mujeres en la producción</w:t>
            </w:r>
            <w:r w:rsidR="00BD20CD" w:rsidRPr="00DE692F">
              <w:t xml:space="preserve"> </w:t>
            </w:r>
            <w:r w:rsidR="00BD20CD" w:rsidRPr="00DE692F">
              <w:rPr>
                <w:rFonts w:ascii="Arial Narrow" w:eastAsia="Arial Narrow" w:hAnsi="Arial Narrow" w:cs="Arial Narrow"/>
                <w:sz w:val="20"/>
                <w:szCs w:val="20"/>
              </w:rPr>
              <w:t xml:space="preserve">de café y cacao y en la toma de decisiones, </w:t>
            </w:r>
            <w:r w:rsidR="00E77D3B" w:rsidRPr="00DE692F">
              <w:rPr>
                <w:rFonts w:ascii="Arial Narrow" w:eastAsia="Arial Narrow" w:hAnsi="Arial Narrow" w:cs="Arial Narrow"/>
                <w:sz w:val="20"/>
                <w:szCs w:val="20"/>
              </w:rPr>
              <w:t>participación,</w:t>
            </w:r>
            <w:r w:rsidR="00BD20CD" w:rsidRPr="00DE692F">
              <w:rPr>
                <w:rFonts w:ascii="Arial Narrow" w:eastAsia="Arial Narrow" w:hAnsi="Arial Narrow" w:cs="Arial Narrow"/>
                <w:sz w:val="20"/>
                <w:szCs w:val="20"/>
              </w:rPr>
              <w:t xml:space="preserve"> así como el beneficio     </w:t>
            </w:r>
            <w:r w:rsidR="00BD20CD" w:rsidRPr="00DE692F">
              <w:rPr>
                <w:rFonts w:ascii="Arial Narrow" w:eastAsia="Arial Narrow" w:hAnsi="Arial Narrow" w:cs="Arial Narrow"/>
                <w:sz w:val="20"/>
                <w:szCs w:val="20"/>
              </w:rPr>
              <w:lastRenderedPageBreak/>
              <w:t>de mujeres y hombres.</w:t>
            </w:r>
          </w:p>
          <w:p w14:paraId="1FDFD257" w14:textId="2E6E1462" w:rsidR="00E77D3B" w:rsidRPr="00DE692F" w:rsidRDefault="00E77D3B" w:rsidP="001F5831">
            <w:pPr>
              <w:spacing w:after="0"/>
              <w:rPr>
                <w:rFonts w:ascii="Arial Narrow" w:eastAsia="Arial Narrow" w:hAnsi="Arial Narrow" w:cs="Arial Narrow"/>
                <w:sz w:val="20"/>
                <w:szCs w:val="20"/>
              </w:rPr>
            </w:pPr>
          </w:p>
          <w:p w14:paraId="2574DE7A"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Especialista de Género del proyecto</w:t>
            </w:r>
          </w:p>
        </w:tc>
        <w:tc>
          <w:tcPr>
            <w:tcW w:w="1230" w:type="dxa"/>
            <w:vMerge w:val="restart"/>
            <w:vAlign w:val="center"/>
          </w:tcPr>
          <w:p w14:paraId="0F87C49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668CA4C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inconsistente al nivel del SES del PNUD. En el sector agrícola, la participación y la contribución de las mujeres han sido </w:t>
            </w:r>
            <w:r w:rsidRPr="00DE692F">
              <w:rPr>
                <w:rFonts w:ascii="Arial Narrow" w:eastAsia="Arial Narrow" w:hAnsi="Arial Narrow" w:cs="Arial Narrow"/>
                <w:sz w:val="20"/>
                <w:szCs w:val="20"/>
              </w:rPr>
              <w:lastRenderedPageBreak/>
              <w:t>invisibles y no se han reconocido, lo que ha contribuido a ampliar las diferencias en el acceso y el control de los servicios y los recursos naturales, y a una participación desigual en la toma de decisiones relacionadas con la planificación medioambiental y todos los niveles de gobernanza. Las asociaciones y cooperativas están compuestas principalmente por hombres, y la presencia de mujeres miembros oscila entre el 10% y el 27%.</w:t>
            </w:r>
          </w:p>
        </w:tc>
      </w:tr>
      <w:tr w:rsidR="00973680" w:rsidRPr="00DE692F" w14:paraId="25F97D56" w14:textId="77777777" w:rsidTr="001F5831">
        <w:trPr>
          <w:trHeight w:val="698"/>
        </w:trPr>
        <w:tc>
          <w:tcPr>
            <w:tcW w:w="570" w:type="dxa"/>
            <w:vMerge/>
            <w:vAlign w:val="center"/>
          </w:tcPr>
          <w:p w14:paraId="7FB022A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232ED57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56BFD38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1822BCB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07AE3D5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4274781E"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3</w:t>
            </w:r>
          </w:p>
        </w:tc>
        <w:tc>
          <w:tcPr>
            <w:tcW w:w="1365" w:type="dxa"/>
            <w:vMerge/>
            <w:vAlign w:val="center"/>
          </w:tcPr>
          <w:p w14:paraId="0930E94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470E14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97EBD3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3E2D430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6970C31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6E655BCD" w14:textId="77777777" w:rsidTr="001F5831">
        <w:trPr>
          <w:trHeight w:val="698"/>
        </w:trPr>
        <w:tc>
          <w:tcPr>
            <w:tcW w:w="570" w:type="dxa"/>
            <w:vMerge/>
            <w:vAlign w:val="center"/>
          </w:tcPr>
          <w:p w14:paraId="6F4A0B4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069EB39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115CDF8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2F7396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5162AAB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513D11F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2EE6190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4C59F5A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3232140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463672B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31DC604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C8566BD" w14:textId="77777777" w:rsidTr="001F5831">
        <w:trPr>
          <w:trHeight w:val="698"/>
        </w:trPr>
        <w:tc>
          <w:tcPr>
            <w:tcW w:w="570" w:type="dxa"/>
            <w:vMerge w:val="restart"/>
            <w:vAlign w:val="center"/>
          </w:tcPr>
          <w:p w14:paraId="417FBE8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9</w:t>
            </w:r>
          </w:p>
        </w:tc>
        <w:tc>
          <w:tcPr>
            <w:tcW w:w="1875" w:type="dxa"/>
            <w:vMerge w:val="restart"/>
            <w:vAlign w:val="center"/>
          </w:tcPr>
          <w:p w14:paraId="5CBD595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El cumplimiento limitado de los compromisos medioambientales (es decir, de las autoridades y/o de los productores/asociaciones de productores locales) podría provocar impactos negativos en los hábitats naturales, los BAVC y la biodiversidad (es decir, las especies en peligro de extinción). Esta limitación podría generar impactos acumulativos en otras actividades existentes o previstas en las jurisdicciones seleccionadas.</w:t>
            </w:r>
          </w:p>
        </w:tc>
        <w:tc>
          <w:tcPr>
            <w:tcW w:w="2010" w:type="dxa"/>
            <w:vMerge w:val="restart"/>
            <w:vAlign w:val="center"/>
          </w:tcPr>
          <w:p w14:paraId="671A75EA"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El cumplimiento limitado de los compromisos medioambientales (es decir, de las autoridades y/o de los productores/asociaciones de productores locales) podría provocar impactos negativos en los hábitats naturales, los BAVC y la biodiversidad (es decir, las especies en peligro de extinción).</w:t>
            </w:r>
          </w:p>
        </w:tc>
        <w:tc>
          <w:tcPr>
            <w:tcW w:w="1635" w:type="dxa"/>
            <w:vMerge w:val="restart"/>
            <w:vAlign w:val="center"/>
          </w:tcPr>
          <w:p w14:paraId="7D2A7B2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Esta limitación podría generar impactos acumulativos en otras actividades existentes o previstas en las jurisdicciones seleccionadas.</w:t>
            </w:r>
          </w:p>
        </w:tc>
        <w:tc>
          <w:tcPr>
            <w:tcW w:w="1305" w:type="dxa"/>
            <w:vMerge w:val="restart"/>
            <w:vAlign w:val="center"/>
          </w:tcPr>
          <w:p w14:paraId="61C29B1F"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1.1, 1.4</w:t>
            </w:r>
          </w:p>
        </w:tc>
        <w:tc>
          <w:tcPr>
            <w:tcW w:w="1305" w:type="dxa"/>
            <w:vAlign w:val="center"/>
          </w:tcPr>
          <w:p w14:paraId="01C5D11A"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2</w:t>
            </w:r>
          </w:p>
        </w:tc>
        <w:tc>
          <w:tcPr>
            <w:tcW w:w="1365" w:type="dxa"/>
            <w:vMerge w:val="restart"/>
            <w:vAlign w:val="center"/>
          </w:tcPr>
          <w:p w14:paraId="1CF387F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45B31CE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6E1C469D" w14:textId="6E7521A3" w:rsidR="00973680" w:rsidRPr="00DE692F" w:rsidRDefault="00973680" w:rsidP="004C56D3">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Tratamiento del riesgo 9: </w:t>
            </w:r>
            <w:commentRangeStart w:id="16"/>
            <w:commentRangeStart w:id="17"/>
            <w:r w:rsidRPr="00DE692F">
              <w:rPr>
                <w:rFonts w:ascii="Arial Narrow" w:eastAsia="Arial Narrow" w:hAnsi="Arial Narrow" w:cs="Arial Narrow"/>
                <w:sz w:val="20"/>
                <w:szCs w:val="20"/>
              </w:rPr>
              <w:t xml:space="preserve">Se </w:t>
            </w:r>
            <w:commentRangeEnd w:id="16"/>
            <w:r w:rsidR="008F3B2E" w:rsidRPr="00DE692F">
              <w:rPr>
                <w:rStyle w:val="Refdecomentario"/>
                <w:rFonts w:ascii="Arial Narrow" w:eastAsia="Arial Narrow" w:hAnsi="Arial Narrow" w:cs="Arial Narrow"/>
                <w:sz w:val="20"/>
                <w:szCs w:val="20"/>
              </w:rPr>
              <w:commentReference w:id="16"/>
            </w:r>
            <w:commentRangeEnd w:id="17"/>
            <w:r w:rsidR="006739CE" w:rsidRPr="00DE692F">
              <w:rPr>
                <w:rStyle w:val="Refdecomentario"/>
                <w:rFonts w:ascii="Arial Narrow" w:eastAsia="Arial Narrow" w:hAnsi="Arial Narrow" w:cs="Arial Narrow"/>
                <w:sz w:val="20"/>
                <w:szCs w:val="20"/>
              </w:rPr>
              <w:commentReference w:id="17"/>
            </w:r>
            <w:r w:rsidRPr="00DE692F">
              <w:rPr>
                <w:rFonts w:ascii="Arial Narrow" w:eastAsia="Arial Narrow" w:hAnsi="Arial Narrow" w:cs="Arial Narrow"/>
                <w:sz w:val="20"/>
                <w:szCs w:val="20"/>
              </w:rPr>
              <w:t>ha trabajado la metodología del Taller de Inicio y los talleres regionales, contribuyendo al desarrollo de la misma, asegurando la adecuación intercultural, género y cambio climático</w:t>
            </w:r>
            <w:r w:rsidR="004C56D3" w:rsidRPr="00DE692F">
              <w:rPr>
                <w:rFonts w:ascii="Arial Narrow" w:eastAsia="Arial Narrow" w:hAnsi="Arial Narrow" w:cs="Arial Narrow"/>
                <w:sz w:val="20"/>
                <w:szCs w:val="20"/>
              </w:rPr>
              <w:t xml:space="preserve">, </w:t>
            </w:r>
            <w:r w:rsidR="004C56D3" w:rsidRPr="00DE692F">
              <w:t xml:space="preserve"> </w:t>
            </w:r>
            <w:r w:rsidR="004C56D3" w:rsidRPr="00DE692F">
              <w:rPr>
                <w:rFonts w:ascii="Arial Narrow" w:eastAsia="Arial Narrow" w:hAnsi="Arial Narrow" w:cs="Arial Narrow"/>
                <w:sz w:val="20"/>
                <w:szCs w:val="20"/>
              </w:rPr>
              <w:t>estos espacios</w:t>
            </w:r>
            <w:r w:rsidR="004C56D3" w:rsidRPr="00DE692F">
              <w:t xml:space="preserve"> </w:t>
            </w:r>
            <w:r w:rsidR="004C56D3" w:rsidRPr="00DE692F">
              <w:rPr>
                <w:rFonts w:ascii="Arial Narrow" w:eastAsia="Arial Narrow" w:hAnsi="Arial Narrow" w:cs="Arial Narrow"/>
                <w:sz w:val="20"/>
                <w:szCs w:val="20"/>
              </w:rPr>
              <w:t xml:space="preserve">contribuyeron a reforzar el rol complementario de todos los sectores desde su rol </w:t>
            </w:r>
            <w:r w:rsidR="004C56D3" w:rsidRPr="00DE692F">
              <w:rPr>
                <w:rFonts w:ascii="Arial Narrow" w:eastAsia="Arial Narrow" w:hAnsi="Arial Narrow" w:cs="Arial Narrow"/>
                <w:sz w:val="20"/>
                <w:szCs w:val="20"/>
              </w:rPr>
              <w:lastRenderedPageBreak/>
              <w:t>al cumplimiento de los compromisos ambientales, ya que las intervenciones son el éxito de varios actores y sus sinergias, identificando oportunidades de interacción y trabajo conjunto.</w:t>
            </w:r>
          </w:p>
          <w:p w14:paraId="776D6188" w14:textId="77777777" w:rsidR="004C56D3" w:rsidRPr="00DE692F" w:rsidRDefault="004C56D3" w:rsidP="001F5831">
            <w:pPr>
              <w:spacing w:after="0"/>
              <w:rPr>
                <w:rFonts w:ascii="Arial Narrow" w:eastAsia="Arial Narrow" w:hAnsi="Arial Narrow" w:cs="Arial Narrow"/>
                <w:sz w:val="20"/>
                <w:szCs w:val="20"/>
              </w:rPr>
            </w:pPr>
          </w:p>
          <w:p w14:paraId="4DCDF7DA" w14:textId="6ACC5AE6" w:rsidR="00973680" w:rsidRPr="00DE692F" w:rsidRDefault="00973680" w:rsidP="001F5831">
            <w:pPr>
              <w:spacing w:after="0"/>
              <w:rPr>
                <w:rFonts w:ascii="Arial Narrow" w:eastAsia="Arial Narrow" w:hAnsi="Arial Narrow" w:cs="Arial Narrow"/>
                <w:sz w:val="20"/>
                <w:szCs w:val="20"/>
              </w:rPr>
            </w:pPr>
            <w:commentRangeStart w:id="18"/>
            <w:commentRangeStart w:id="19"/>
            <w:r w:rsidRPr="00DE692F">
              <w:rPr>
                <w:rFonts w:ascii="Arial Narrow" w:eastAsia="Arial Narrow" w:hAnsi="Arial Narrow" w:cs="Arial Narrow"/>
                <w:sz w:val="20"/>
                <w:szCs w:val="20"/>
              </w:rPr>
              <w:t>Se han desarrollado reuniones con las Jefaturas de las ANP, socializando los riesgos sociales y ambientales:</w:t>
            </w:r>
            <w:commentRangeEnd w:id="18"/>
            <w:r w:rsidR="00A91088" w:rsidRPr="00DE692F">
              <w:rPr>
                <w:rStyle w:val="Refdecomentario"/>
                <w:rFonts w:ascii="Arial Narrow" w:eastAsia="Arial Narrow" w:hAnsi="Arial Narrow" w:cs="Arial Narrow"/>
                <w:sz w:val="20"/>
                <w:szCs w:val="20"/>
              </w:rPr>
              <w:commentReference w:id="18"/>
            </w:r>
            <w:commentRangeEnd w:id="19"/>
            <w:r w:rsidR="006739CE" w:rsidRPr="00DE692F">
              <w:rPr>
                <w:rStyle w:val="Refdecomentario"/>
                <w:rFonts w:ascii="Arial Narrow" w:eastAsia="Arial Narrow" w:hAnsi="Arial Narrow" w:cs="Arial Narrow"/>
                <w:sz w:val="20"/>
                <w:szCs w:val="20"/>
              </w:rPr>
              <w:commentReference w:id="19"/>
            </w:r>
            <w:r w:rsidR="004C56D3" w:rsidRPr="00DE692F">
              <w:rPr>
                <w:rFonts w:ascii="Arial Narrow" w:eastAsia="Arial Narrow" w:hAnsi="Arial Narrow" w:cs="Arial Narrow"/>
                <w:sz w:val="20"/>
                <w:szCs w:val="20"/>
              </w:rPr>
              <w:t xml:space="preserve"> </w:t>
            </w:r>
            <w:r w:rsidR="004C56D3" w:rsidRPr="00DE692F">
              <w:t xml:space="preserve"> </w:t>
            </w:r>
            <w:r w:rsidR="004C56D3" w:rsidRPr="00DE692F">
              <w:rPr>
                <w:rFonts w:ascii="Arial Narrow" w:eastAsia="Arial Narrow" w:hAnsi="Arial Narrow" w:cs="Arial Narrow"/>
                <w:sz w:val="20"/>
                <w:szCs w:val="20"/>
              </w:rPr>
              <w:t xml:space="preserve">a fin de que puedan tener claridad que este proyecto contribuye con los compromisos ambientales como las </w:t>
            </w:r>
            <w:r w:rsidR="004C56D3" w:rsidRPr="00DE692F">
              <w:rPr>
                <w:rFonts w:ascii="Arial Narrow" w:eastAsia="Arial Narrow" w:hAnsi="Arial Narrow" w:cs="Arial Narrow"/>
                <w:sz w:val="20"/>
                <w:szCs w:val="20"/>
              </w:rPr>
              <w:lastRenderedPageBreak/>
              <w:t xml:space="preserve">NDC, la mirada GIP entre otros aspectos que contribuye a fortalecer la gestión fuera del ANP, mediante el compromiso de implementar acciones sostenibles que contribuyen a la conectividad del paisaje.    </w:t>
            </w:r>
          </w:p>
          <w:p w14:paraId="71AA3671" w14:textId="77777777" w:rsidR="00973680" w:rsidRPr="00DE692F" w:rsidRDefault="00973680" w:rsidP="001F5831">
            <w:pPr>
              <w:spacing w:after="0"/>
              <w:rPr>
                <w:rFonts w:ascii="Arial Narrow" w:eastAsia="Arial Narrow" w:hAnsi="Arial Narrow" w:cs="Arial Narrow"/>
                <w:sz w:val="20"/>
                <w:szCs w:val="20"/>
              </w:rPr>
            </w:pPr>
          </w:p>
          <w:p w14:paraId="29F77B7F"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SN Tabaconas Namballe</w:t>
            </w:r>
          </w:p>
          <w:p w14:paraId="16498717"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RC Chayunain</w:t>
            </w:r>
          </w:p>
          <w:p w14:paraId="1DD02991"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ECA Chayunain</w:t>
            </w:r>
          </w:p>
          <w:p w14:paraId="55D75998"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SN Cordillera de Colán</w:t>
            </w:r>
          </w:p>
          <w:p w14:paraId="419505B8" w14:textId="77777777" w:rsidR="00973680" w:rsidRPr="00DE692F" w:rsidRDefault="00973680" w:rsidP="001F5831">
            <w:pPr>
              <w:spacing w:after="0"/>
              <w:rPr>
                <w:rFonts w:ascii="Arial Narrow" w:eastAsia="Arial Narrow" w:hAnsi="Arial Narrow" w:cs="Arial Narrow"/>
                <w:sz w:val="20"/>
                <w:szCs w:val="20"/>
              </w:rPr>
            </w:pPr>
          </w:p>
          <w:p w14:paraId="0D093418"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PN</w:t>
            </w:r>
          </w:p>
          <w:p w14:paraId="352044CD"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Cordillera Azul</w:t>
            </w:r>
          </w:p>
          <w:p w14:paraId="31FC3C46" w14:textId="77777777" w:rsidR="00973680" w:rsidRPr="00DE692F" w:rsidRDefault="00973680" w:rsidP="001F5831">
            <w:pPr>
              <w:spacing w:after="0"/>
              <w:rPr>
                <w:rFonts w:ascii="Arial Narrow" w:eastAsia="Arial Narrow" w:hAnsi="Arial Narrow" w:cs="Arial Narrow"/>
                <w:sz w:val="20"/>
                <w:szCs w:val="20"/>
              </w:rPr>
            </w:pPr>
          </w:p>
          <w:p w14:paraId="34A10E11"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BP Alto Mayo</w:t>
            </w:r>
          </w:p>
          <w:p w14:paraId="21A56457" w14:textId="77777777" w:rsidR="00973680" w:rsidRPr="00DE692F" w:rsidRDefault="00973680" w:rsidP="001F5831">
            <w:pPr>
              <w:spacing w:after="0"/>
              <w:rPr>
                <w:rFonts w:ascii="Arial Narrow" w:eastAsia="Arial Narrow" w:hAnsi="Arial Narrow" w:cs="Arial Narrow"/>
                <w:sz w:val="20"/>
                <w:szCs w:val="20"/>
              </w:rPr>
            </w:pPr>
          </w:p>
          <w:p w14:paraId="61071FFE"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PN Río Abiseo </w:t>
            </w:r>
          </w:p>
          <w:p w14:paraId="69632A90" w14:textId="77777777" w:rsidR="00973680" w:rsidRPr="00DE692F" w:rsidRDefault="00973680" w:rsidP="001F5831">
            <w:pPr>
              <w:spacing w:after="0"/>
              <w:rPr>
                <w:rFonts w:ascii="Arial Narrow" w:eastAsia="Arial Narrow" w:hAnsi="Arial Narrow" w:cs="Arial Narrow"/>
                <w:sz w:val="20"/>
                <w:szCs w:val="20"/>
              </w:rPr>
            </w:pPr>
          </w:p>
          <w:p w14:paraId="1C64C79B"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Actualmente el SN Tabaconas Namballe cuenta con una zona de uso especial, pero en esta prima la actividad ganadera.</w:t>
            </w:r>
          </w:p>
          <w:p w14:paraId="614A515C" w14:textId="77777777" w:rsidR="00973680" w:rsidRPr="00DE692F" w:rsidRDefault="00973680" w:rsidP="001F5831">
            <w:pPr>
              <w:spacing w:after="0"/>
              <w:rPr>
                <w:rFonts w:ascii="Arial Narrow" w:eastAsia="Arial Narrow" w:hAnsi="Arial Narrow" w:cs="Arial Narrow"/>
                <w:sz w:val="20"/>
                <w:szCs w:val="20"/>
              </w:rPr>
            </w:pPr>
          </w:p>
          <w:p w14:paraId="7B201E45" w14:textId="77777777" w:rsidR="00973680" w:rsidRPr="00DE692F" w:rsidRDefault="00973680"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el BP Alto Mayo, esfectivamente dieron cuenta de una zona de uso especial en el que se encuentran colonos y ellos realizan el cultivo de café, reciben asistencia técnica de Coservatión International, ya que cuentan con un contrato de </w:t>
            </w:r>
            <w:r w:rsidRPr="00DE692F">
              <w:rPr>
                <w:rFonts w:ascii="Arial Narrow" w:eastAsia="Arial Narrow" w:hAnsi="Arial Narrow" w:cs="Arial Narrow"/>
                <w:sz w:val="20"/>
                <w:szCs w:val="20"/>
              </w:rPr>
              <w:lastRenderedPageBreak/>
              <w:t>administración vigente.</w:t>
            </w:r>
          </w:p>
          <w:p w14:paraId="1A3633D5" w14:textId="77777777" w:rsidR="00973680" w:rsidRPr="00DE692F" w:rsidRDefault="00973680" w:rsidP="001F5831">
            <w:pPr>
              <w:spacing w:after="0"/>
              <w:rPr>
                <w:rFonts w:ascii="Arial Narrow" w:eastAsia="Arial Narrow" w:hAnsi="Arial Narrow" w:cs="Arial Narrow"/>
                <w:sz w:val="20"/>
                <w:szCs w:val="20"/>
              </w:rPr>
            </w:pPr>
          </w:p>
          <w:p w14:paraId="2C6F221C"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3E7C5AB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43B0464A"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inconsistente al nivel del SES del PNUD. Históricamente, la producción convencional de commodities no sostenibles ha contribuido a la deforestación y a las emisiones de GEI.16 Otros impactos de los commodities no sostenibles incluyen la disminución de la </w:t>
            </w:r>
            <w:r w:rsidRPr="00DE692F">
              <w:rPr>
                <w:rFonts w:ascii="Arial Narrow" w:eastAsia="Arial Narrow" w:hAnsi="Arial Narrow" w:cs="Arial Narrow"/>
                <w:sz w:val="20"/>
                <w:szCs w:val="20"/>
              </w:rPr>
              <w:lastRenderedPageBreak/>
              <w:t xml:space="preserve">provisión de servicios ambientales como los nutrientes del suelo, el agua dulce, la polinización, la regulación del clima, los hábitats de la vida silvestre y la pérdida de biodiversidad de alto valor. El incumplimiento de los compromisos medioambientales puede incluir el mantenimiento de la cobertura vegetal, la restauración de las zonas degradadas de la tierra y las medidas de gestión de riesgos medioambientales y climáticos, entre otras que se identificarán durante la ejecución del proyecto. Dos áreas protegidas en la zona del proyecto, el SN Tabaconas Namballe y el BP Alto Mayo, tienen </w:t>
            </w:r>
            <w:r w:rsidRPr="00DE692F">
              <w:rPr>
                <w:rFonts w:ascii="Arial Narrow" w:eastAsia="Arial Narrow" w:hAnsi="Arial Narrow" w:cs="Arial Narrow"/>
                <w:sz w:val="20"/>
                <w:szCs w:val="20"/>
              </w:rPr>
              <w:lastRenderedPageBreak/>
              <w:t>parcelas de café que son administradas por colonos locales, bajo las regulaciones del Plan Maestro de cada área protegida.</w:t>
            </w:r>
          </w:p>
        </w:tc>
      </w:tr>
      <w:tr w:rsidR="00973680" w:rsidRPr="00DE692F" w14:paraId="172BD7DE" w14:textId="77777777" w:rsidTr="001F5831">
        <w:trPr>
          <w:trHeight w:val="698"/>
        </w:trPr>
        <w:tc>
          <w:tcPr>
            <w:tcW w:w="570" w:type="dxa"/>
            <w:vMerge/>
            <w:vAlign w:val="center"/>
          </w:tcPr>
          <w:p w14:paraId="04C3430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1EFC36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762922E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232D173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13E0796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259EA89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5</w:t>
            </w:r>
          </w:p>
        </w:tc>
        <w:tc>
          <w:tcPr>
            <w:tcW w:w="1365" w:type="dxa"/>
            <w:vMerge/>
            <w:vAlign w:val="center"/>
          </w:tcPr>
          <w:p w14:paraId="52B6242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0951B8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34E929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85B792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4844EC5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3B5482B5" w14:textId="77777777" w:rsidTr="001F5831">
        <w:trPr>
          <w:trHeight w:val="698"/>
        </w:trPr>
        <w:tc>
          <w:tcPr>
            <w:tcW w:w="570" w:type="dxa"/>
            <w:vMerge/>
            <w:vAlign w:val="center"/>
          </w:tcPr>
          <w:p w14:paraId="080528B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48F75F0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5506518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6E71D59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01D161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6E56EC3"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Nivel de riesgo: </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7AD6F2B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232A92C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334DA19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443D6B7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0350518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864A109" w14:textId="77777777" w:rsidTr="001F5831">
        <w:trPr>
          <w:trHeight w:val="698"/>
        </w:trPr>
        <w:tc>
          <w:tcPr>
            <w:tcW w:w="570" w:type="dxa"/>
            <w:vMerge w:val="restart"/>
            <w:vAlign w:val="center"/>
          </w:tcPr>
          <w:p w14:paraId="34272B5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10</w:t>
            </w:r>
          </w:p>
        </w:tc>
        <w:tc>
          <w:tcPr>
            <w:tcW w:w="1875" w:type="dxa"/>
            <w:vMerge w:val="restart"/>
            <w:vAlign w:val="center"/>
          </w:tcPr>
          <w:p w14:paraId="5DB7051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reformas políticas o reglamentarias podrían tener repercusiones sociales y/o medioambientales negativas si hay deficiencias en su diseño o aplicación.</w:t>
            </w:r>
          </w:p>
        </w:tc>
        <w:tc>
          <w:tcPr>
            <w:tcW w:w="2010" w:type="dxa"/>
            <w:vMerge w:val="restart"/>
            <w:vAlign w:val="center"/>
          </w:tcPr>
          <w:p w14:paraId="514C3F8A"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Ausencia de análisis de las reformas políticas o reglamentos y mecanismos de control adecuados por parte del Estado y de la sociedad civil organizada.</w:t>
            </w:r>
          </w:p>
        </w:tc>
        <w:tc>
          <w:tcPr>
            <w:tcW w:w="1635" w:type="dxa"/>
            <w:vMerge w:val="restart"/>
            <w:vAlign w:val="center"/>
          </w:tcPr>
          <w:p w14:paraId="752E83B2"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reformas o mejoras políticas y normativas promovidas por el proyecto podrían convertirse involuntariamente en incentivos para la deforestación.</w:t>
            </w:r>
          </w:p>
        </w:tc>
        <w:tc>
          <w:tcPr>
            <w:tcW w:w="1305" w:type="dxa"/>
            <w:vMerge w:val="restart"/>
            <w:vAlign w:val="center"/>
          </w:tcPr>
          <w:p w14:paraId="147F3974"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1.4</w:t>
            </w:r>
          </w:p>
        </w:tc>
        <w:tc>
          <w:tcPr>
            <w:tcW w:w="1305" w:type="dxa"/>
            <w:vAlign w:val="center"/>
          </w:tcPr>
          <w:p w14:paraId="6FCBDF4B"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7B423D6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373972E7"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p w14:paraId="31F9D878" w14:textId="77777777" w:rsidR="00973680" w:rsidRPr="00DE692F" w:rsidRDefault="00973680" w:rsidP="001F5831">
            <w:pPr>
              <w:spacing w:after="144"/>
              <w:rPr>
                <w:rFonts w:ascii="Arial Narrow" w:eastAsia="Arial Narrow" w:hAnsi="Arial Narrow" w:cs="Arial Narrow"/>
                <w:sz w:val="20"/>
                <w:szCs w:val="20"/>
              </w:rPr>
            </w:pPr>
          </w:p>
        </w:tc>
        <w:tc>
          <w:tcPr>
            <w:tcW w:w="1200" w:type="dxa"/>
            <w:vMerge w:val="restart"/>
            <w:vAlign w:val="center"/>
          </w:tcPr>
          <w:p w14:paraId="58F2312F" w14:textId="77777777" w:rsidR="00973680" w:rsidRPr="00DE692F" w:rsidRDefault="00973680" w:rsidP="001F5831">
            <w:pPr>
              <w:spacing w:before="144" w:after="0"/>
              <w:rPr>
                <w:rFonts w:ascii="Arial Narrow" w:eastAsia="Arial Narrow" w:hAnsi="Arial Narrow" w:cs="Arial Narrow"/>
                <w:sz w:val="20"/>
                <w:szCs w:val="20"/>
              </w:rPr>
            </w:pPr>
            <w:commentRangeStart w:id="20"/>
            <w:commentRangeStart w:id="21"/>
            <w:r w:rsidRPr="00DE692F">
              <w:rPr>
                <w:rFonts w:ascii="Arial Narrow" w:eastAsia="Arial Narrow" w:hAnsi="Arial Narrow" w:cs="Arial Narrow"/>
                <w:sz w:val="20"/>
                <w:szCs w:val="20"/>
              </w:rPr>
              <w:t>Tratamiento del riesgo 10:</w:t>
            </w:r>
          </w:p>
          <w:p w14:paraId="5E55BDC0" w14:textId="77777777" w:rsidR="00973680" w:rsidRPr="00DE692F" w:rsidRDefault="00973680" w:rsidP="001F5831">
            <w:pPr>
              <w:spacing w:after="0"/>
              <w:rPr>
                <w:rFonts w:ascii="Arial Narrow" w:eastAsia="Arial Narrow" w:hAnsi="Arial Narrow" w:cs="Arial Narrow"/>
                <w:sz w:val="20"/>
                <w:szCs w:val="20"/>
              </w:rPr>
            </w:pPr>
          </w:p>
          <w:p w14:paraId="3D8DC55D" w14:textId="5EC32417" w:rsidR="00E4266E" w:rsidRPr="00DE692F" w:rsidRDefault="00E4266E" w:rsidP="001F5831">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Se cuenta con un check list siempre que se implemente alguna reforma política o reglamentaria a fin de ser aplicada siempre que esta se requiera. La</w:t>
            </w:r>
          </w:p>
          <w:p w14:paraId="3329FC52" w14:textId="77777777" w:rsidR="00E4266E" w:rsidRPr="00DE692F" w:rsidRDefault="00E4266E" w:rsidP="00E4266E">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aplicación del check list puede denotar si se requiere o no realizar estudios de viabilidad.</w:t>
            </w:r>
          </w:p>
          <w:p w14:paraId="5BACB9FB" w14:textId="77777777" w:rsidR="00E4266E" w:rsidRPr="00DE692F" w:rsidRDefault="00E4266E" w:rsidP="00E4266E">
            <w:pPr>
              <w:spacing w:after="0"/>
              <w:rPr>
                <w:rFonts w:ascii="Arial Narrow" w:eastAsia="Arial Narrow" w:hAnsi="Arial Narrow" w:cs="Arial Narrow"/>
                <w:sz w:val="20"/>
                <w:szCs w:val="20"/>
              </w:rPr>
            </w:pPr>
          </w:p>
          <w:p w14:paraId="352F14FE" w14:textId="157F452F" w:rsidR="00E4266E" w:rsidRPr="00DE692F" w:rsidRDefault="00E4266E" w:rsidP="00E4266E">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Se llevó a cabo una reunión sobre los </w:t>
            </w:r>
            <w:r w:rsidRPr="00DE692F">
              <w:rPr>
                <w:rFonts w:ascii="Arial Narrow" w:eastAsia="Arial Narrow" w:hAnsi="Arial Narrow" w:cs="Arial Narrow"/>
                <w:sz w:val="20"/>
                <w:szCs w:val="20"/>
              </w:rPr>
              <w:lastRenderedPageBreak/>
              <w:t>CUSAF, identificándose acciones de mejora de los actores que contribuyen a implementarla y a darle seguimiento.</w:t>
            </w:r>
          </w:p>
          <w:p w14:paraId="2249833C" w14:textId="77777777" w:rsidR="00E4266E" w:rsidRPr="00DE692F" w:rsidRDefault="00E4266E" w:rsidP="00E4266E">
            <w:pPr>
              <w:spacing w:after="0"/>
              <w:rPr>
                <w:rFonts w:ascii="Arial Narrow" w:eastAsia="Arial Narrow" w:hAnsi="Arial Narrow" w:cs="Arial Narrow"/>
                <w:sz w:val="20"/>
                <w:szCs w:val="20"/>
              </w:rPr>
            </w:pPr>
          </w:p>
          <w:p w14:paraId="1B177B4D" w14:textId="349EE085" w:rsidR="00E4266E" w:rsidRPr="00DE692F" w:rsidRDefault="00E4266E" w:rsidP="00E4266E">
            <w:pPr>
              <w:spacing w:after="0"/>
              <w:rPr>
                <w:rFonts w:ascii="Arial Narrow" w:eastAsia="Arial Narrow" w:hAnsi="Arial Narrow" w:cs="Arial Narrow"/>
                <w:sz w:val="20"/>
                <w:szCs w:val="20"/>
              </w:rPr>
            </w:pPr>
            <w:r w:rsidRPr="00DE692F">
              <w:rPr>
                <w:rFonts w:ascii="Arial Narrow" w:eastAsia="Arial Narrow" w:hAnsi="Arial Narrow" w:cs="Arial Narrow"/>
                <w:sz w:val="20"/>
                <w:szCs w:val="20"/>
              </w:rPr>
              <w:t>El proyecto actualmente cuenta con un servicio que está elaborando pautas</w:t>
            </w:r>
            <w:r w:rsidRPr="00DE692F">
              <w:t xml:space="preserve"> </w:t>
            </w:r>
            <w:r w:rsidRPr="00DE692F">
              <w:rPr>
                <w:rFonts w:ascii="Arial Narrow" w:eastAsia="Arial Narrow" w:hAnsi="Arial Narrow" w:cs="Arial Narrow"/>
                <w:sz w:val="20"/>
                <w:szCs w:val="20"/>
              </w:rPr>
              <w:t>metodológicas para la incorporación de los enfoques transversales en los PDLC y PDR en un trabajo conjunto con CEPLAN  para mejorar las herramienta</w:t>
            </w:r>
            <w:r w:rsidR="00EA7A5A">
              <w:rPr>
                <w:rFonts w:ascii="Arial Narrow" w:eastAsia="Arial Narrow" w:hAnsi="Arial Narrow" w:cs="Arial Narrow"/>
                <w:sz w:val="20"/>
                <w:szCs w:val="20"/>
              </w:rPr>
              <w:t>s</w:t>
            </w:r>
            <w:r w:rsidRPr="00DE692F">
              <w:rPr>
                <w:rFonts w:ascii="Arial Narrow" w:eastAsia="Arial Narrow" w:hAnsi="Arial Narrow" w:cs="Arial Narrow"/>
                <w:sz w:val="20"/>
                <w:szCs w:val="20"/>
              </w:rPr>
              <w:t xml:space="preserve">, que en el largo plazo pueden contribuir a escalar el </w:t>
            </w:r>
            <w:r w:rsidRPr="00DE692F">
              <w:rPr>
                <w:rFonts w:ascii="Arial Narrow" w:eastAsia="Arial Narrow" w:hAnsi="Arial Narrow" w:cs="Arial Narrow"/>
                <w:sz w:val="20"/>
                <w:szCs w:val="20"/>
              </w:rPr>
              <w:lastRenderedPageBreak/>
              <w:t>proceso si existiera la decisión política y técnica.</w:t>
            </w:r>
          </w:p>
          <w:p w14:paraId="002DBE32" w14:textId="77777777" w:rsidR="00E4266E" w:rsidRPr="00DE692F" w:rsidRDefault="00E4266E" w:rsidP="00E4266E">
            <w:pPr>
              <w:spacing w:after="0"/>
              <w:rPr>
                <w:rFonts w:ascii="Arial Narrow" w:eastAsia="Arial Narrow" w:hAnsi="Arial Narrow" w:cs="Arial Narrow"/>
                <w:sz w:val="20"/>
                <w:szCs w:val="20"/>
              </w:rPr>
            </w:pPr>
          </w:p>
          <w:p w14:paraId="1A5D5B40"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commentRangeEnd w:id="20"/>
            <w:r w:rsidR="00643B78" w:rsidRPr="00DE692F">
              <w:rPr>
                <w:rStyle w:val="Refdecomentario"/>
                <w:rFonts w:ascii="Arial Narrow" w:eastAsia="Arial Narrow" w:hAnsi="Arial Narrow" w:cs="Arial Narrow"/>
                <w:sz w:val="20"/>
                <w:szCs w:val="20"/>
              </w:rPr>
              <w:commentReference w:id="20"/>
            </w:r>
            <w:commentRangeEnd w:id="21"/>
            <w:r w:rsidR="006739CE" w:rsidRPr="00DE692F">
              <w:rPr>
                <w:rStyle w:val="Refdecomentario"/>
                <w:rFonts w:ascii="Arial Narrow" w:eastAsia="Arial Narrow" w:hAnsi="Arial Narrow" w:cs="Arial Narrow"/>
                <w:sz w:val="20"/>
                <w:szCs w:val="20"/>
              </w:rPr>
              <w:commentReference w:id="21"/>
            </w:r>
          </w:p>
        </w:tc>
        <w:tc>
          <w:tcPr>
            <w:tcW w:w="1230" w:type="dxa"/>
            <w:vMerge w:val="restart"/>
            <w:vAlign w:val="center"/>
          </w:tcPr>
          <w:p w14:paraId="0A825A5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45D0053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ausencia de análisis y mecanismos de control adecuados por parte del Estado y de la sociedad civil organizada, las reformas o mejoras políticas y normativas promovidas por el proyecto podrían convertirse involuntariamente en incentivos para la deforestación. Algunos ejemplos son la Ley de Incentivos para las plantaciones, que podría incentivar la preparación de zonas forestales para posteriores plantaciones, así como el acaparamiento de tierras;27 la Ley de promoción del mercado de </w:t>
            </w:r>
            <w:r w:rsidRPr="00DE692F">
              <w:rPr>
                <w:rFonts w:ascii="Arial Narrow" w:eastAsia="Arial Narrow" w:hAnsi="Arial Narrow" w:cs="Arial Narrow"/>
                <w:sz w:val="20"/>
                <w:szCs w:val="20"/>
              </w:rPr>
              <w:lastRenderedPageBreak/>
              <w:t>biocombustibles que promueve la producción de biocombustibles en la selva, que requerirá más de 50.000 hectáreas adicionales de palma para satisfacer la demanda interna de biodiésel; y las políticas y reglamentos para la transferencia de tierras públicas a título oneroso, para el posterior establecimiento de plantaciones de palma aceitera y cacao.</w:t>
            </w:r>
          </w:p>
        </w:tc>
      </w:tr>
      <w:tr w:rsidR="00973680" w:rsidRPr="00DE692F" w14:paraId="1E236031" w14:textId="77777777" w:rsidTr="001F5831">
        <w:trPr>
          <w:trHeight w:val="698"/>
        </w:trPr>
        <w:tc>
          <w:tcPr>
            <w:tcW w:w="570" w:type="dxa"/>
            <w:vMerge/>
            <w:vAlign w:val="center"/>
          </w:tcPr>
          <w:p w14:paraId="2782CDD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6020208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4B8BB57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49BCECA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6FCF570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004B50CA"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6466F85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D534E0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5FE5FC0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1503427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3919642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ABDFE64" w14:textId="77777777" w:rsidTr="001F5831">
        <w:trPr>
          <w:trHeight w:val="698"/>
        </w:trPr>
        <w:tc>
          <w:tcPr>
            <w:tcW w:w="570" w:type="dxa"/>
            <w:vMerge/>
            <w:vAlign w:val="center"/>
          </w:tcPr>
          <w:p w14:paraId="4E2E0A9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7595E6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1A8798E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F0240B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747A9CE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EE228A1"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653D72B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167BD1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03CDDB9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0B6D3D1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78CC900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080385C" w14:textId="77777777" w:rsidTr="001F5831">
        <w:trPr>
          <w:trHeight w:val="698"/>
        </w:trPr>
        <w:tc>
          <w:tcPr>
            <w:tcW w:w="570" w:type="dxa"/>
            <w:vMerge w:val="restart"/>
            <w:vAlign w:val="center"/>
          </w:tcPr>
          <w:p w14:paraId="45D5280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11</w:t>
            </w:r>
          </w:p>
        </w:tc>
        <w:tc>
          <w:tcPr>
            <w:tcW w:w="1875" w:type="dxa"/>
            <w:vMerge w:val="restart"/>
            <w:vAlign w:val="center"/>
          </w:tcPr>
          <w:p w14:paraId="1D6C9ADD"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actividades y los resultados del proyecto serán vulnerables y/o aumentarán los impactos potenciales del cambio climático. Por ejemplo, si la evaluación  y el diseño de los paquetes tecnológicos no tienen en cuenta los posibles fenómenos del cambio climático a nivel local, los resultados del proyecto pueden ser vulnerables a ellos.</w:t>
            </w:r>
          </w:p>
        </w:tc>
        <w:tc>
          <w:tcPr>
            <w:tcW w:w="2010" w:type="dxa"/>
            <w:vMerge w:val="restart"/>
            <w:vAlign w:val="center"/>
          </w:tcPr>
          <w:p w14:paraId="6A7DC45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actividades y los resultados del proyecto no incorporan el enfoque de cambio climático,</w:t>
            </w:r>
          </w:p>
        </w:tc>
        <w:tc>
          <w:tcPr>
            <w:tcW w:w="1635" w:type="dxa"/>
            <w:vMerge w:val="restart"/>
            <w:vAlign w:val="center"/>
          </w:tcPr>
          <w:p w14:paraId="75E2E07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Los resultados del proyecto pueden ser vulnerables y/o aumentaran los impactos potenciales al cambio climático.</w:t>
            </w:r>
          </w:p>
        </w:tc>
        <w:tc>
          <w:tcPr>
            <w:tcW w:w="1305" w:type="dxa"/>
            <w:vMerge w:val="restart"/>
            <w:vAlign w:val="center"/>
          </w:tcPr>
          <w:p w14:paraId="1BCA871B"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1.5</w:t>
            </w:r>
          </w:p>
        </w:tc>
        <w:tc>
          <w:tcPr>
            <w:tcW w:w="1305" w:type="dxa"/>
            <w:vAlign w:val="center"/>
          </w:tcPr>
          <w:p w14:paraId="43ADE81B"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01AE30B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128FE5AD" w14:textId="77777777" w:rsidR="00973680" w:rsidRPr="00DE692F" w:rsidRDefault="00973680" w:rsidP="001F5831">
            <w:pPr>
              <w:spacing w:before="144" w:after="144"/>
              <w:rPr>
                <w:rFonts w:ascii="Arial Narrow" w:eastAsia="Arial Narrow" w:hAnsi="Arial Narrow" w:cs="Arial Narrow"/>
                <w:sz w:val="20"/>
                <w:szCs w:val="20"/>
              </w:rPr>
            </w:pPr>
          </w:p>
          <w:p w14:paraId="356AE7BB" w14:textId="77777777" w:rsidR="00973680" w:rsidRPr="00DE692F" w:rsidRDefault="00973680" w:rsidP="001F5831">
            <w:pPr>
              <w:spacing w:before="144" w:after="144"/>
              <w:rPr>
                <w:rFonts w:ascii="Arial Narrow" w:eastAsia="Arial Narrow" w:hAnsi="Arial Narrow" w:cs="Arial Narrow"/>
                <w:sz w:val="20"/>
                <w:szCs w:val="20"/>
              </w:rPr>
            </w:pPr>
          </w:p>
          <w:p w14:paraId="6148BF2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3EDA53A6"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11:</w:t>
            </w:r>
          </w:p>
          <w:p w14:paraId="58C7D34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El Proyecto en el componente 2 ha considerado incluir como parte del diseño del paquete tecnológico la incorporación de prácticas para mitigar los efectos del cambio climático en las parcelas de café y cacao. Para ello ha identificado información </w:t>
            </w:r>
            <w:r w:rsidRPr="00DE692F">
              <w:rPr>
                <w:rFonts w:ascii="Arial Narrow" w:eastAsia="Arial Narrow" w:hAnsi="Arial Narrow" w:cs="Arial Narrow"/>
                <w:sz w:val="20"/>
                <w:szCs w:val="20"/>
              </w:rPr>
              <w:lastRenderedPageBreak/>
              <w:t>secundaria que será considerada en el diseño del paquete tecnológico como: La estrategia regional de cambio climático y planes de acción de cambio climático a nivel de cada región.</w:t>
            </w:r>
          </w:p>
          <w:p w14:paraId="0501520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Paralelamente a ello se ha elaborado una lista de insumos agrícolas no permitidos para ser incorporados en los paquetes tecnológicos y en los planes de fortalecimiento y planes de negocio.</w:t>
            </w:r>
          </w:p>
          <w:p w14:paraId="1EB51E27" w14:textId="77777777" w:rsidR="00973680" w:rsidRPr="00DE692F" w:rsidRDefault="00973680" w:rsidP="001F5831">
            <w:pPr>
              <w:spacing w:after="0"/>
              <w:rPr>
                <w:rFonts w:ascii="Arial Narrow" w:eastAsia="Arial Narrow" w:hAnsi="Arial Narrow" w:cs="Arial Narrow"/>
                <w:sz w:val="20"/>
                <w:szCs w:val="20"/>
              </w:rPr>
            </w:pPr>
          </w:p>
          <w:p w14:paraId="255293D0"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Responsable: La UGP del proyecto</w:t>
            </w:r>
          </w:p>
        </w:tc>
        <w:tc>
          <w:tcPr>
            <w:tcW w:w="1230" w:type="dxa"/>
            <w:vMerge w:val="restart"/>
            <w:vAlign w:val="center"/>
          </w:tcPr>
          <w:p w14:paraId="6BFD5DA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71FE369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Perú es uno de los países latinoamericanos más afectados por los fenómenos hidrometeorológicos asociados a El Niño y otras perturbaciones atmosféricas en el Océano Pacífico ecuatorial. De acuerdo con el Plan de Gestión de Riesgos y Adaptación al Cambio Climático en el sector agrícola 2012-2021, el 48% de los distritos presentan una vulnerabilidad agrícola alta, el 26% una vulnerabilidad agrícola media y el 15% una </w:t>
            </w:r>
            <w:r w:rsidRPr="00DE692F">
              <w:rPr>
                <w:rFonts w:ascii="Arial Narrow" w:eastAsia="Arial Narrow" w:hAnsi="Arial Narrow" w:cs="Arial Narrow"/>
                <w:sz w:val="20"/>
                <w:szCs w:val="20"/>
              </w:rPr>
              <w:lastRenderedPageBreak/>
              <w:t>vulnerabilidad agrícola baja. A nivel de commodities, el cambio climático se asocia con el aumento del déficit hídrico, las plagas y enfermedades, y las variaciones en la distribución actual de las zonas productivas, especialmente para el café. Además, el aumento de la variabilidad climática y la aparición de fenómenos meteorológicos extremos como sequías, tormentas, vientos huracanados, lluvias intensas e inundaciones son factores que afectan a la calidad y cantidad de la producción y pueden generar pérdidas económicas para los pequeños agricultores.</w:t>
            </w:r>
          </w:p>
        </w:tc>
      </w:tr>
      <w:tr w:rsidR="00973680" w:rsidRPr="00DE692F" w14:paraId="3AB0256B" w14:textId="77777777" w:rsidTr="001F5831">
        <w:trPr>
          <w:trHeight w:val="698"/>
        </w:trPr>
        <w:tc>
          <w:tcPr>
            <w:tcW w:w="570" w:type="dxa"/>
            <w:vMerge/>
            <w:vAlign w:val="center"/>
          </w:tcPr>
          <w:p w14:paraId="11FEF99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DBACDD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027831E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81E978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8A7C32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46F686FC"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3</w:t>
            </w:r>
          </w:p>
        </w:tc>
        <w:tc>
          <w:tcPr>
            <w:tcW w:w="1365" w:type="dxa"/>
            <w:vMerge/>
            <w:vAlign w:val="center"/>
          </w:tcPr>
          <w:p w14:paraId="7AA546E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19D6E6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7FA1035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5F09001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7756094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2B12159D" w14:textId="77777777" w:rsidTr="001F5831">
        <w:trPr>
          <w:trHeight w:val="698"/>
        </w:trPr>
        <w:tc>
          <w:tcPr>
            <w:tcW w:w="570" w:type="dxa"/>
            <w:vMerge/>
            <w:vAlign w:val="center"/>
          </w:tcPr>
          <w:p w14:paraId="12984E5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801481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6437DCA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4E187FA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1CE52D9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F12B52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2BBB5A1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4D7C6A3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39049B5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00C8827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74206F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7670E80" w14:textId="77777777" w:rsidTr="001F5831">
        <w:trPr>
          <w:trHeight w:val="698"/>
        </w:trPr>
        <w:tc>
          <w:tcPr>
            <w:tcW w:w="570" w:type="dxa"/>
            <w:vMerge w:val="restart"/>
            <w:vAlign w:val="center"/>
          </w:tcPr>
          <w:p w14:paraId="6FD3EBE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12</w:t>
            </w:r>
          </w:p>
        </w:tc>
        <w:tc>
          <w:tcPr>
            <w:tcW w:w="1875" w:type="dxa"/>
            <w:vMerge w:val="restart"/>
            <w:vAlign w:val="center"/>
          </w:tcPr>
          <w:p w14:paraId="300D160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actividades del proyecto pueden tener un efecto adverso indirecto sobre el patrimonio cultural de los pueblos indígenas involucrados.</w:t>
            </w:r>
          </w:p>
        </w:tc>
        <w:tc>
          <w:tcPr>
            <w:tcW w:w="2010" w:type="dxa"/>
            <w:vMerge w:val="restart"/>
            <w:vAlign w:val="center"/>
          </w:tcPr>
          <w:p w14:paraId="0111FEF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actividades del proyecto pueden tener un efecto adverso indirecto sobre el patrimonio cultural.</w:t>
            </w:r>
          </w:p>
        </w:tc>
        <w:tc>
          <w:tcPr>
            <w:tcW w:w="1635" w:type="dxa"/>
            <w:vMerge w:val="restart"/>
            <w:vAlign w:val="center"/>
          </w:tcPr>
          <w:p w14:paraId="2A6EA145"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actividades del proyecto pueden afectar de forma indirecta la erosión o pérdida de conocimientos tradicionales.</w:t>
            </w:r>
          </w:p>
        </w:tc>
        <w:tc>
          <w:tcPr>
            <w:tcW w:w="1305" w:type="dxa"/>
            <w:vMerge w:val="restart"/>
            <w:vAlign w:val="center"/>
          </w:tcPr>
          <w:p w14:paraId="712DAA9B" w14:textId="77777777" w:rsidR="00973680" w:rsidRPr="00DE692F" w:rsidRDefault="00973680" w:rsidP="001F5831">
            <w:pPr>
              <w:spacing w:before="144" w:after="0"/>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Categoría1,</w:t>
            </w:r>
          </w:p>
          <w:p w14:paraId="7FF70024" w14:textId="77777777" w:rsidR="00973680" w:rsidRPr="00DE692F" w:rsidRDefault="00973680" w:rsidP="001F5831">
            <w:pPr>
              <w:spacing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1.7, 1.9</w:t>
            </w:r>
          </w:p>
        </w:tc>
        <w:tc>
          <w:tcPr>
            <w:tcW w:w="1305" w:type="dxa"/>
            <w:vAlign w:val="center"/>
          </w:tcPr>
          <w:p w14:paraId="41CD6907"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2</w:t>
            </w:r>
          </w:p>
        </w:tc>
        <w:tc>
          <w:tcPr>
            <w:tcW w:w="1365" w:type="dxa"/>
            <w:vMerge w:val="restart"/>
            <w:vAlign w:val="center"/>
          </w:tcPr>
          <w:p w14:paraId="0043067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265AC8D0"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A la fecha se ha identificado una lista de patrimonio inmaterial </w:t>
            </w:r>
          </w:p>
          <w:p w14:paraId="03D68A0A" w14:textId="77777777" w:rsidR="00973680" w:rsidRPr="00DE692F" w:rsidRDefault="00973680" w:rsidP="001F5831">
            <w:pPr>
              <w:spacing w:before="144" w:after="0"/>
              <w:rPr>
                <w:rFonts w:ascii="Arial Narrow" w:eastAsia="Arial Narrow" w:hAnsi="Arial Narrow" w:cs="Arial Narrow"/>
                <w:sz w:val="20"/>
                <w:szCs w:val="20"/>
              </w:rPr>
            </w:pPr>
          </w:p>
          <w:p w14:paraId="587A6584" w14:textId="77777777" w:rsidR="00973680" w:rsidRPr="00DE692F" w:rsidRDefault="00973680" w:rsidP="001F5831">
            <w:pPr>
              <w:spacing w:before="144" w:after="0"/>
              <w:rPr>
                <w:rFonts w:ascii="Arial Narrow" w:eastAsia="Arial Narrow" w:hAnsi="Arial Narrow" w:cs="Arial Narrow"/>
                <w:sz w:val="20"/>
                <w:szCs w:val="20"/>
              </w:rPr>
            </w:pPr>
          </w:p>
          <w:p w14:paraId="6A956885" w14:textId="77777777" w:rsidR="00973680" w:rsidRPr="00DE692F" w:rsidRDefault="00973680" w:rsidP="001F5831">
            <w:pPr>
              <w:spacing w:before="144" w:after="0"/>
              <w:rPr>
                <w:rFonts w:ascii="Arial Narrow" w:eastAsia="Arial Narrow" w:hAnsi="Arial Narrow" w:cs="Arial Narrow"/>
                <w:sz w:val="20"/>
                <w:szCs w:val="20"/>
              </w:rPr>
            </w:pPr>
          </w:p>
          <w:p w14:paraId="00D7A1EB" w14:textId="77777777" w:rsidR="00973680" w:rsidRPr="00DE692F" w:rsidRDefault="00973680" w:rsidP="001F5831">
            <w:pPr>
              <w:spacing w:before="144" w:after="0"/>
              <w:rPr>
                <w:rFonts w:ascii="Arial Narrow" w:eastAsia="Arial Narrow" w:hAnsi="Arial Narrow" w:cs="Arial Narrow"/>
                <w:sz w:val="20"/>
                <w:szCs w:val="20"/>
              </w:rPr>
            </w:pPr>
          </w:p>
          <w:p w14:paraId="6B6B618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p w14:paraId="118A4C5F" w14:textId="77777777" w:rsidR="00973680" w:rsidRPr="00DE692F" w:rsidRDefault="00973680" w:rsidP="001F5831">
            <w:pPr>
              <w:spacing w:after="144"/>
              <w:rPr>
                <w:rFonts w:ascii="Arial Narrow" w:eastAsia="Arial Narrow" w:hAnsi="Arial Narrow" w:cs="Arial Narrow"/>
                <w:sz w:val="20"/>
                <w:szCs w:val="20"/>
              </w:rPr>
            </w:pPr>
          </w:p>
        </w:tc>
        <w:tc>
          <w:tcPr>
            <w:tcW w:w="1200" w:type="dxa"/>
            <w:vMerge w:val="restart"/>
            <w:vAlign w:val="center"/>
          </w:tcPr>
          <w:p w14:paraId="01A097FB"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12: Se han identificado las dos instancias para el abordaje del tema (MINCUL e Indecopi). Asimismo, se ha revisado la lista de patrimonio cultural intangible por provincia (ámbito del proyecto) del MINCUL.</w:t>
            </w:r>
          </w:p>
          <w:p w14:paraId="08F325E5" w14:textId="77777777" w:rsidR="00973680" w:rsidRPr="00DE692F" w:rsidRDefault="00973680" w:rsidP="001F5831">
            <w:pPr>
              <w:spacing w:before="144" w:after="0"/>
              <w:rPr>
                <w:rFonts w:ascii="Arial Narrow" w:eastAsia="Arial Narrow" w:hAnsi="Arial Narrow" w:cs="Arial Narrow"/>
                <w:sz w:val="20"/>
                <w:szCs w:val="20"/>
              </w:rPr>
            </w:pPr>
          </w:p>
          <w:p w14:paraId="73016E06"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 xml:space="preserve">A la fecha se han realizado reuniones con el MINCUL, en el cual nos detallaron la metodología que trabajan a modo de </w:t>
            </w:r>
            <w:r w:rsidRPr="00DE692F">
              <w:rPr>
                <w:rFonts w:ascii="Arial Narrow" w:eastAsia="Calibri" w:hAnsi="Arial Narrow" w:cs="Calibri"/>
                <w:sz w:val="20"/>
                <w:szCs w:val="20"/>
              </w:rPr>
              <w:lastRenderedPageBreak/>
              <w:t>referencia en relación a Planes de Vida.</w:t>
            </w:r>
          </w:p>
          <w:p w14:paraId="18E6CB7D" w14:textId="77777777" w:rsidR="00973680" w:rsidRPr="00DE692F" w:rsidRDefault="00973680" w:rsidP="001F5831">
            <w:pPr>
              <w:spacing w:after="0"/>
              <w:rPr>
                <w:rFonts w:ascii="Arial Narrow" w:eastAsia="Calibri" w:hAnsi="Arial Narrow" w:cs="Calibri"/>
                <w:sz w:val="20"/>
                <w:szCs w:val="20"/>
              </w:rPr>
            </w:pPr>
          </w:p>
          <w:p w14:paraId="69193A79"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A la fecha se han llevado reuniones de coordinación con tres representaciones de Pueblos Indígenas:</w:t>
            </w:r>
          </w:p>
          <w:p w14:paraId="07E5196A" w14:textId="77777777" w:rsidR="00973680" w:rsidRPr="00DE692F" w:rsidRDefault="00973680" w:rsidP="001F5831">
            <w:pPr>
              <w:spacing w:after="0"/>
              <w:rPr>
                <w:rFonts w:ascii="Arial Narrow" w:eastAsia="Calibri" w:hAnsi="Arial Narrow" w:cs="Calibri"/>
                <w:sz w:val="20"/>
                <w:szCs w:val="20"/>
              </w:rPr>
            </w:pPr>
          </w:p>
          <w:p w14:paraId="7B0CA8BC" w14:textId="2DD668CD"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Ejecutor de Contrato de Administración de la RC Chayunain (representa a 11 Comunidades Nativas Awajún que realizan una co-gestión con el estado)</w:t>
            </w:r>
          </w:p>
          <w:p w14:paraId="2FB21B1A" w14:textId="77777777" w:rsidR="00973680" w:rsidRPr="00DE692F" w:rsidRDefault="00973680" w:rsidP="001F5831">
            <w:pPr>
              <w:spacing w:after="0"/>
              <w:rPr>
                <w:rFonts w:ascii="Arial Narrow" w:eastAsia="Calibri" w:hAnsi="Arial Narrow" w:cs="Calibri"/>
                <w:sz w:val="20"/>
                <w:szCs w:val="20"/>
              </w:rPr>
            </w:pPr>
          </w:p>
          <w:p w14:paraId="5EC67003"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 xml:space="preserve">ORDEPIA- Organización Regional de Desarrollo de los Pueblos Indígenas de Alto </w:t>
            </w:r>
            <w:r w:rsidRPr="00DE692F">
              <w:rPr>
                <w:rFonts w:ascii="Arial Narrow" w:eastAsia="Calibri" w:hAnsi="Arial Narrow" w:cs="Calibri"/>
                <w:sz w:val="20"/>
                <w:szCs w:val="20"/>
              </w:rPr>
              <w:lastRenderedPageBreak/>
              <w:t>Amazonas Loreto</w:t>
            </w:r>
          </w:p>
          <w:p w14:paraId="7DC40C70" w14:textId="77777777" w:rsidR="00973680" w:rsidRPr="00DE692F" w:rsidRDefault="00973680" w:rsidP="001F5831">
            <w:pPr>
              <w:spacing w:after="0"/>
              <w:rPr>
                <w:rFonts w:ascii="Arial Narrow" w:eastAsia="Calibri" w:hAnsi="Arial Narrow" w:cs="Calibri"/>
                <w:sz w:val="20"/>
                <w:szCs w:val="20"/>
              </w:rPr>
            </w:pPr>
          </w:p>
          <w:p w14:paraId="651E0D5C"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 xml:space="preserve">En relación a los planes de Vida, se sostuvieron reuniones tanto en la región de Amazonas (provincia de Bagua) como en la región Loreto (provincia de Alto Amazonas), con la Jefatura de la RC Chayunain y el ECA Chayunain (para de la Reserva Comunal del mismo nombre) y la Organización Indígena ORDEPIA, respectivamente, con quienes se analizaron los paisajes </w:t>
            </w:r>
            <w:r w:rsidRPr="00DE692F">
              <w:rPr>
                <w:rFonts w:ascii="Arial Narrow" w:eastAsia="Calibri" w:hAnsi="Arial Narrow" w:cs="Calibri"/>
                <w:sz w:val="20"/>
                <w:szCs w:val="20"/>
              </w:rPr>
              <w:lastRenderedPageBreak/>
              <w:t>donde se encuentran sus comunidades con la finalidad de determinar con cuales se podría trabajar los PVPI.</w:t>
            </w:r>
          </w:p>
          <w:p w14:paraId="4CF3792F"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 xml:space="preserve"> </w:t>
            </w:r>
          </w:p>
          <w:p w14:paraId="337CD618" w14:textId="77777777" w:rsidR="00973680" w:rsidRPr="00DE692F" w:rsidRDefault="00973680" w:rsidP="001F5831">
            <w:pPr>
              <w:spacing w:after="0"/>
              <w:rPr>
                <w:rFonts w:ascii="Arial Narrow" w:eastAsia="Calibri" w:hAnsi="Arial Narrow" w:cs="Calibri"/>
                <w:sz w:val="20"/>
                <w:szCs w:val="20"/>
              </w:rPr>
            </w:pPr>
            <w:r w:rsidRPr="00DE692F">
              <w:rPr>
                <w:rFonts w:ascii="Arial Narrow" w:eastAsia="Calibri" w:hAnsi="Arial Narrow" w:cs="Calibri"/>
                <w:sz w:val="20"/>
                <w:szCs w:val="20"/>
              </w:rPr>
              <w:t>En el caso de la Reserva Comunal Chayunain, el ECA solicitó tomar en cuenta para los PVPI a las 9 comunidades que son parte de la Reserva, y priorizaron tres comunidades con las que se podría iniciar en el año 2025.</w:t>
            </w:r>
          </w:p>
          <w:p w14:paraId="572E1E46" w14:textId="77777777" w:rsidR="00973680" w:rsidRPr="00DE692F" w:rsidRDefault="00973680" w:rsidP="001F5831">
            <w:pPr>
              <w:spacing w:before="240" w:after="0" w:line="276" w:lineRule="auto"/>
              <w:rPr>
                <w:rFonts w:ascii="Arial Narrow" w:hAnsi="Arial Narrow"/>
                <w:sz w:val="24"/>
              </w:rPr>
            </w:pPr>
            <w:r w:rsidRPr="00DE692F">
              <w:rPr>
                <w:rFonts w:ascii="Arial Narrow" w:hAnsi="Arial Narrow"/>
                <w:sz w:val="24"/>
              </w:rPr>
              <w:t xml:space="preserve"> </w:t>
            </w:r>
          </w:p>
          <w:p w14:paraId="1F4C4F2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Calibri" w:hAnsi="Arial Narrow" w:cs="Calibri"/>
                <w:sz w:val="20"/>
                <w:szCs w:val="20"/>
              </w:rPr>
              <w:t xml:space="preserve">Por otro lado, en el caso de </w:t>
            </w:r>
            <w:r w:rsidRPr="00DE692F">
              <w:rPr>
                <w:rFonts w:ascii="Arial Narrow" w:eastAsia="Calibri" w:hAnsi="Arial Narrow" w:cs="Calibri"/>
                <w:sz w:val="20"/>
                <w:szCs w:val="20"/>
              </w:rPr>
              <w:lastRenderedPageBreak/>
              <w:t xml:space="preserve">ORDEPIA asistieron a la reunión junto con sus asesores técnicos comentaron que existen varias comunidades sin Planes de Vida (de un universo de 101 CCNN que representan en la provincia de Alto Amazonas), y que definirán tres comunidades en una zona donde sea posible trabajar considerando el acceso, cercanía entre una y otra, que realicen cultivos de cacao y que la organización </w:t>
            </w:r>
            <w:r w:rsidRPr="00DE692F">
              <w:rPr>
                <w:rFonts w:ascii="Arial Narrow" w:eastAsia="Calibri" w:hAnsi="Arial Narrow" w:cs="Calibri"/>
                <w:sz w:val="20"/>
                <w:szCs w:val="20"/>
              </w:rPr>
              <w:lastRenderedPageBreak/>
              <w:t>considere necesario intervenir</w:t>
            </w:r>
          </w:p>
          <w:p w14:paraId="4D8652D4" w14:textId="77777777" w:rsidR="00973680" w:rsidRPr="00DE692F" w:rsidRDefault="00973680" w:rsidP="001F5831">
            <w:pPr>
              <w:spacing w:before="144" w:after="0"/>
              <w:rPr>
                <w:rFonts w:ascii="Arial Narrow" w:eastAsia="Arial Narrow" w:hAnsi="Arial Narrow" w:cs="Arial Narrow"/>
                <w:sz w:val="20"/>
                <w:szCs w:val="20"/>
              </w:rPr>
            </w:pPr>
          </w:p>
          <w:p w14:paraId="352474EB"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Se tienen reuniones agendadas para enero del año 2025</w:t>
            </w:r>
          </w:p>
          <w:p w14:paraId="52A63668"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 la fecha no se ha reportado ningún efecto adverso del proyecto</w:t>
            </w:r>
          </w:p>
          <w:p w14:paraId="4D822838" w14:textId="77777777" w:rsidR="00973680" w:rsidRPr="00DE692F" w:rsidRDefault="00973680" w:rsidP="001F5831">
            <w:pPr>
              <w:spacing w:after="0"/>
              <w:rPr>
                <w:rFonts w:ascii="Arial Narrow" w:eastAsia="Arial Narrow" w:hAnsi="Arial Narrow" w:cs="Arial Narrow"/>
                <w:sz w:val="20"/>
                <w:szCs w:val="20"/>
              </w:rPr>
            </w:pPr>
          </w:p>
          <w:p w14:paraId="154DD087"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654578E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353BEFB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incoherente al nivel del SES del PNUD. La mayor proximidad de la población indígena a los factores externos provoca cambios culturales que pueden acelerar la erosión y la pérdida de los conocimientos tradicionales, si las comunidades carecen de herramientas para afrontar estos retos. El Ministerio de Cultura (MINCUL) ha desarrollado una base de datos de </w:t>
            </w:r>
            <w:r w:rsidRPr="00DE692F">
              <w:rPr>
                <w:rFonts w:ascii="Arial Narrow" w:eastAsia="Arial Narrow" w:hAnsi="Arial Narrow" w:cs="Arial Narrow"/>
                <w:sz w:val="20"/>
                <w:szCs w:val="20"/>
              </w:rPr>
              <w:lastRenderedPageBreak/>
              <w:t xml:space="preserve">cultura inmaterial; sin embargo, no cuenta con un registro a nivel de cada comunidad. En cuanto al patrimonio tangible, en el territorio indígena Shawi se verificó la presencia de salinas que siguen suministrando sal, así como diferentes tipos de arcilla utilizados por las mujeres para hacer utensilios de cocina. El marco legal lo establece la Ley N° 27811 sobre el régimen de protección de los conocimientos colectivos de los Pueblos Indígenas vinculados a los recursos biológicos. Esta protección. El organismo encargado de definir y registrar los conocimientos colectivos de los PI es el Instituto Nacional de Defensa y </w:t>
            </w:r>
            <w:r w:rsidRPr="00DE692F">
              <w:rPr>
                <w:rFonts w:ascii="Arial Narrow" w:eastAsia="Arial Narrow" w:hAnsi="Arial Narrow" w:cs="Arial Narrow"/>
                <w:sz w:val="20"/>
                <w:szCs w:val="20"/>
              </w:rPr>
              <w:lastRenderedPageBreak/>
              <w:t>Protección de la Propiedad Intelectual (INDECOPI).</w:t>
            </w:r>
          </w:p>
        </w:tc>
      </w:tr>
      <w:tr w:rsidR="00973680" w:rsidRPr="00DE692F" w14:paraId="61780336" w14:textId="77777777" w:rsidTr="001F5831">
        <w:trPr>
          <w:trHeight w:val="698"/>
        </w:trPr>
        <w:tc>
          <w:tcPr>
            <w:tcW w:w="570" w:type="dxa"/>
            <w:vMerge/>
            <w:vAlign w:val="center"/>
          </w:tcPr>
          <w:p w14:paraId="27A41CF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5DF9039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350C282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2E6D27A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C96F01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35853B3C"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3</w:t>
            </w:r>
          </w:p>
        </w:tc>
        <w:tc>
          <w:tcPr>
            <w:tcW w:w="1365" w:type="dxa"/>
            <w:vMerge/>
            <w:vAlign w:val="center"/>
          </w:tcPr>
          <w:p w14:paraId="533E2BF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13295AE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349218C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63CD6C9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5ACC0F6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AC70D23" w14:textId="77777777" w:rsidTr="001F5831">
        <w:trPr>
          <w:trHeight w:val="698"/>
        </w:trPr>
        <w:tc>
          <w:tcPr>
            <w:tcW w:w="570" w:type="dxa"/>
            <w:vMerge/>
            <w:vAlign w:val="center"/>
          </w:tcPr>
          <w:p w14:paraId="5420272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08BCD2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3E4A28E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E10411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109E166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BCD46DB"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2D23FB3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868C3D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62E1A0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71A928E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01920B4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2E1133FF" w14:textId="77777777" w:rsidTr="001F5831">
        <w:trPr>
          <w:trHeight w:val="698"/>
        </w:trPr>
        <w:tc>
          <w:tcPr>
            <w:tcW w:w="570" w:type="dxa"/>
            <w:vMerge w:val="restart"/>
            <w:vAlign w:val="center"/>
          </w:tcPr>
          <w:p w14:paraId="214FE4F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13</w:t>
            </w:r>
          </w:p>
        </w:tc>
        <w:tc>
          <w:tcPr>
            <w:tcW w:w="1875" w:type="dxa"/>
            <w:vMerge w:val="restart"/>
            <w:vAlign w:val="center"/>
          </w:tcPr>
          <w:p w14:paraId="110F903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áreas ambientalmente sensibles (es decir, las áreas degradadas con capacidad limitada para proporcionar servicios de los ecosistemas -ES-) no pueden soportar una CLD sostenible.</w:t>
            </w:r>
          </w:p>
        </w:tc>
        <w:tc>
          <w:tcPr>
            <w:tcW w:w="2010" w:type="dxa"/>
            <w:vMerge w:val="restart"/>
            <w:vAlign w:val="center"/>
          </w:tcPr>
          <w:p w14:paraId="1D1CD94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prácticas convencionales de producción insostenible de commodities han contribuido a aumentar la degradación de la tierra, las emisiones de GEI y la deforestación.</w:t>
            </w:r>
          </w:p>
        </w:tc>
        <w:tc>
          <w:tcPr>
            <w:tcW w:w="1635" w:type="dxa"/>
            <w:vMerge w:val="restart"/>
            <w:vAlign w:val="center"/>
          </w:tcPr>
          <w:p w14:paraId="76C7B12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Esto ha afectado el valor de servicios ambientales como el agua, los nutrientes del suelo, la polinización, la regulación del clima y la vida silvestre.</w:t>
            </w:r>
          </w:p>
        </w:tc>
        <w:tc>
          <w:tcPr>
            <w:tcW w:w="1305" w:type="dxa"/>
            <w:vMerge w:val="restart"/>
            <w:vAlign w:val="center"/>
          </w:tcPr>
          <w:p w14:paraId="65E45938"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1.4</w:t>
            </w:r>
          </w:p>
        </w:tc>
        <w:tc>
          <w:tcPr>
            <w:tcW w:w="1305" w:type="dxa"/>
            <w:vAlign w:val="center"/>
          </w:tcPr>
          <w:p w14:paraId="043FA5C5"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4</w:t>
            </w:r>
          </w:p>
        </w:tc>
        <w:tc>
          <w:tcPr>
            <w:tcW w:w="1365" w:type="dxa"/>
            <w:vMerge w:val="restart"/>
            <w:vAlign w:val="center"/>
          </w:tcPr>
          <w:p w14:paraId="18C723AD"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2AB064AA" w14:textId="77777777" w:rsidR="00973680" w:rsidRPr="00DE692F" w:rsidRDefault="00973680" w:rsidP="001F5831">
            <w:pPr>
              <w:spacing w:before="144" w:after="144"/>
              <w:rPr>
                <w:rFonts w:ascii="Arial Narrow" w:eastAsia="Arial Narrow" w:hAnsi="Arial Narrow" w:cs="Arial Narrow"/>
                <w:sz w:val="20"/>
                <w:szCs w:val="20"/>
              </w:rPr>
            </w:pPr>
          </w:p>
          <w:p w14:paraId="4C1285C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7DA40494"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13:</w:t>
            </w:r>
          </w:p>
          <w:p w14:paraId="18508C51"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Actualmente se ha coordinado con el Gobierno Regional de Amazonas, el desarrollo de mapas de áreas degradadas y de </w:t>
            </w:r>
            <w:r w:rsidRPr="00DE692F">
              <w:rPr>
                <w:rFonts w:ascii="Arial Narrow" w:eastAsia="Arial Narrow" w:hAnsi="Arial Narrow" w:cs="Arial Narrow"/>
                <w:sz w:val="20"/>
                <w:szCs w:val="20"/>
              </w:rPr>
              <w:lastRenderedPageBreak/>
              <w:t>ecosistemas a escala regional con la finalidad de elaborar un plan regional de restauración que priorizará las áreas degradadas.</w:t>
            </w:r>
          </w:p>
          <w:p w14:paraId="6523BE4A" w14:textId="77777777" w:rsidR="00973680" w:rsidRPr="00DE692F" w:rsidRDefault="00973680" w:rsidP="001F5831">
            <w:pPr>
              <w:spacing w:before="144" w:after="0"/>
              <w:rPr>
                <w:rFonts w:ascii="Arial Narrow" w:eastAsia="Arial Narrow" w:hAnsi="Arial Narrow" w:cs="Arial Narrow"/>
                <w:sz w:val="20"/>
                <w:szCs w:val="20"/>
              </w:rPr>
            </w:pPr>
          </w:p>
          <w:p w14:paraId="274805EF"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 la fecha San Martín y Loreto cuentan con mapas regionales de ecosistemas degradados, de no contar con planes regionales de restauración, el proyecto podría apoyar en la elaboración de los planes el siguiente año.</w:t>
            </w:r>
          </w:p>
          <w:p w14:paraId="11186EA1" w14:textId="77777777" w:rsidR="00973680" w:rsidRPr="00DE692F" w:rsidRDefault="00973680" w:rsidP="001F5831">
            <w:pPr>
              <w:spacing w:before="144" w:after="0"/>
              <w:rPr>
                <w:rFonts w:ascii="Arial Narrow" w:eastAsia="Arial Narrow" w:hAnsi="Arial Narrow" w:cs="Arial Narrow"/>
                <w:sz w:val="20"/>
                <w:szCs w:val="20"/>
              </w:rPr>
            </w:pPr>
          </w:p>
          <w:p w14:paraId="7158D0EE"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el PN Cordillera </w:t>
            </w:r>
            <w:r w:rsidRPr="00DE692F">
              <w:rPr>
                <w:rFonts w:ascii="Arial Narrow" w:eastAsia="Arial Narrow" w:hAnsi="Arial Narrow" w:cs="Arial Narrow"/>
                <w:sz w:val="20"/>
                <w:szCs w:val="20"/>
              </w:rPr>
              <w:lastRenderedPageBreak/>
              <w:t>Azul, se ha identificado 30 hectáreas que a la fecha es la brecha que tiene el ANP, sin embargo, al contar con un Contrato de Administración con la ONG CIMA Cordillera Azul, probablemente contarán con financiamiento en el marco de su contrato. (por lo que actualmente lo están evaluando)</w:t>
            </w:r>
          </w:p>
          <w:p w14:paraId="77542E5F" w14:textId="77777777" w:rsidR="00973680" w:rsidRPr="00DE692F" w:rsidRDefault="00973680" w:rsidP="001F5831">
            <w:pPr>
              <w:spacing w:before="144" w:after="0"/>
              <w:rPr>
                <w:rFonts w:ascii="Arial Narrow" w:eastAsia="Arial Narrow" w:hAnsi="Arial Narrow" w:cs="Arial Narrow"/>
                <w:sz w:val="20"/>
                <w:szCs w:val="20"/>
              </w:rPr>
            </w:pPr>
          </w:p>
          <w:p w14:paraId="7383F2B6"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En el caso del BP Alto Mayo, en las reuniones desarrolladas con el ANP, han manifestado </w:t>
            </w:r>
            <w:r w:rsidRPr="00DE692F">
              <w:rPr>
                <w:rFonts w:ascii="Arial Narrow" w:eastAsia="Arial Narrow" w:hAnsi="Arial Narrow" w:cs="Arial Narrow"/>
                <w:sz w:val="20"/>
                <w:szCs w:val="20"/>
              </w:rPr>
              <w:lastRenderedPageBreak/>
              <w:t>su interés de restaurar, por lo tanto, se continuarán teniendo reuniones de coordinación.</w:t>
            </w:r>
          </w:p>
          <w:p w14:paraId="2803283B" w14:textId="77777777" w:rsidR="00973680" w:rsidRPr="00DE692F" w:rsidRDefault="00973680" w:rsidP="001F5831">
            <w:pPr>
              <w:spacing w:before="144" w:after="0"/>
              <w:rPr>
                <w:rFonts w:ascii="Arial Narrow" w:eastAsia="Arial Narrow" w:hAnsi="Arial Narrow" w:cs="Arial Narrow"/>
                <w:sz w:val="20"/>
                <w:szCs w:val="20"/>
              </w:rPr>
            </w:pPr>
          </w:p>
          <w:p w14:paraId="1C2B1981"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3C7E3AF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51A7D131"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incoherente al nivel del SES del PNUD. Las prácticas </w:t>
            </w:r>
            <w:r w:rsidRPr="00DE692F">
              <w:rPr>
                <w:rFonts w:ascii="Arial Narrow" w:eastAsia="Arial Narrow" w:hAnsi="Arial Narrow" w:cs="Arial Narrow"/>
                <w:sz w:val="20"/>
                <w:szCs w:val="20"/>
              </w:rPr>
              <w:lastRenderedPageBreak/>
              <w:t xml:space="preserve">convencionales de producción insostenible de commodities han contribuido a aumentar la degradación de la tierra, las emisiones de GEI y la deforestación, y han afectado al valor de servicios ambientales como el agua, los nutrientes del suelo, la polinización, la regulación del clima y la vida silvestre. 23Entre 2001 y 2016, la expansión de los commodities representó el 25% de la pérdida de bosques del país, y el 89% de la pérdida de bosques en la zona de intervención (Nota conceptual, 2019). Según el Mapa de Áreas Prioritarias de Restauración, la mayor prioridad de restauración se concentra en la ZE del PN Cordillera Azul y BP Alto </w:t>
            </w:r>
            <w:r w:rsidRPr="00DE692F">
              <w:rPr>
                <w:rFonts w:ascii="Arial Narrow" w:eastAsia="Arial Narrow" w:hAnsi="Arial Narrow" w:cs="Arial Narrow"/>
                <w:sz w:val="20"/>
                <w:szCs w:val="20"/>
              </w:rPr>
              <w:lastRenderedPageBreak/>
              <w:t>Mayo, y está asociada a la producción de café. En las zonas de producción de palma, las necesidades de restauración son bajas en Tocache, y de moderadas a altas en Lamas y Alto Amazonas. Algunos de los pequeños agricultores asociados al proyecto podrían ampliar su superficie de cultivo como consecuencia de la insuficiencia de servicios ecosistémicos en las zonas de cultivo actuales.</w:t>
            </w:r>
          </w:p>
        </w:tc>
      </w:tr>
      <w:tr w:rsidR="00973680" w:rsidRPr="00DE692F" w14:paraId="7C3917BD" w14:textId="77777777" w:rsidTr="001F5831">
        <w:trPr>
          <w:trHeight w:val="698"/>
        </w:trPr>
        <w:tc>
          <w:tcPr>
            <w:tcW w:w="570" w:type="dxa"/>
            <w:vMerge/>
            <w:vAlign w:val="center"/>
          </w:tcPr>
          <w:p w14:paraId="6504866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9A4927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39943E9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073212D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7091F0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23F89C2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138C202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01BA155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5AD0912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0E5D5F0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F12B86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366F4269" w14:textId="77777777" w:rsidTr="001F5831">
        <w:trPr>
          <w:trHeight w:val="698"/>
        </w:trPr>
        <w:tc>
          <w:tcPr>
            <w:tcW w:w="570" w:type="dxa"/>
            <w:vMerge/>
            <w:vAlign w:val="center"/>
          </w:tcPr>
          <w:p w14:paraId="3550A31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18CDBA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43D3880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251595C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481F15E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6B993F39"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711B5FE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423ACD8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4EA845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13E3B31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15AE0D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079187D9" w14:textId="77777777" w:rsidTr="001F5831">
        <w:trPr>
          <w:trHeight w:val="698"/>
        </w:trPr>
        <w:tc>
          <w:tcPr>
            <w:tcW w:w="570" w:type="dxa"/>
            <w:vMerge w:val="restart"/>
            <w:vAlign w:val="center"/>
          </w:tcPr>
          <w:p w14:paraId="65538E7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14</w:t>
            </w:r>
          </w:p>
        </w:tc>
        <w:tc>
          <w:tcPr>
            <w:tcW w:w="1875" w:type="dxa"/>
            <w:vMerge w:val="restart"/>
            <w:vAlign w:val="center"/>
          </w:tcPr>
          <w:p w14:paraId="518E0ACE"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Los socios del proyecto (productores locales y asociaciones de productores) podrían mantener o llevar a cabo prácticas inadecuadas (por ejemplo, la gestión de los productos agroquímicos y las aguas residuales durante el cultivo y la transformación de los commodities), generando riesgos para la salud y el medio ambiente</w:t>
            </w:r>
          </w:p>
        </w:tc>
        <w:tc>
          <w:tcPr>
            <w:tcW w:w="2010" w:type="dxa"/>
            <w:vMerge w:val="restart"/>
            <w:vAlign w:val="center"/>
          </w:tcPr>
          <w:p w14:paraId="51415FE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Los socios del proyecto (productores locales y asociaciones de productores) podrían mantener o llevar a cabo prácticas inadecuadas (por ejemplo, la gestión de los productos agroquímicos y las aguas residuales durante el cultivo y la transformación de los commodities).</w:t>
            </w:r>
          </w:p>
        </w:tc>
        <w:tc>
          <w:tcPr>
            <w:tcW w:w="1635" w:type="dxa"/>
            <w:vMerge w:val="restart"/>
            <w:vAlign w:val="center"/>
          </w:tcPr>
          <w:p w14:paraId="5409A77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Lo que generaría riesgos para la salud y el medio ambiente.</w:t>
            </w:r>
          </w:p>
        </w:tc>
        <w:tc>
          <w:tcPr>
            <w:tcW w:w="1305" w:type="dxa"/>
            <w:vMerge w:val="restart"/>
            <w:vAlign w:val="center"/>
          </w:tcPr>
          <w:p w14:paraId="116A6C0E"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1, 1.11</w:t>
            </w:r>
          </w:p>
        </w:tc>
        <w:tc>
          <w:tcPr>
            <w:tcW w:w="1305" w:type="dxa"/>
            <w:vAlign w:val="center"/>
          </w:tcPr>
          <w:p w14:paraId="3AC0172C"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2</w:t>
            </w:r>
          </w:p>
        </w:tc>
        <w:tc>
          <w:tcPr>
            <w:tcW w:w="1365" w:type="dxa"/>
            <w:vMerge w:val="restart"/>
            <w:vAlign w:val="center"/>
          </w:tcPr>
          <w:p w14:paraId="7645D4C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70003E9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UGP del Proyecto </w:t>
            </w:r>
          </w:p>
          <w:p w14:paraId="546EFDF4" w14:textId="77777777" w:rsidR="00973680" w:rsidRPr="00DE692F" w:rsidRDefault="00973680" w:rsidP="001F5831">
            <w:pPr>
              <w:spacing w:after="144"/>
              <w:rPr>
                <w:rFonts w:ascii="Arial Narrow" w:eastAsia="Arial Narrow" w:hAnsi="Arial Narrow" w:cs="Arial Narrow"/>
                <w:sz w:val="20"/>
                <w:szCs w:val="20"/>
              </w:rPr>
            </w:pPr>
          </w:p>
        </w:tc>
        <w:tc>
          <w:tcPr>
            <w:tcW w:w="1200" w:type="dxa"/>
            <w:vMerge w:val="restart"/>
            <w:vAlign w:val="center"/>
          </w:tcPr>
          <w:p w14:paraId="4111494A"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14:</w:t>
            </w:r>
          </w:p>
          <w:p w14:paraId="4F3578F1" w14:textId="77777777" w:rsidR="00973680" w:rsidRPr="00DE692F" w:rsidRDefault="00973680" w:rsidP="001F5831">
            <w:pPr>
              <w:spacing w:before="144" w:after="0"/>
              <w:rPr>
                <w:rFonts w:ascii="Arial Narrow" w:eastAsia="Arial Narrow" w:hAnsi="Arial Narrow" w:cs="Arial Narrow"/>
                <w:sz w:val="20"/>
                <w:szCs w:val="20"/>
              </w:rPr>
            </w:pPr>
          </w:p>
          <w:p w14:paraId="516DA651" w14:textId="7D046CFF" w:rsidR="00973680" w:rsidRPr="00DE692F" w:rsidRDefault="00973680" w:rsidP="001F5831">
            <w:pPr>
              <w:spacing w:before="144" w:after="0"/>
              <w:rPr>
                <w:rFonts w:ascii="Arial Narrow" w:eastAsia="Arial Narrow" w:hAnsi="Arial Narrow" w:cs="Arial Narrow"/>
                <w:sz w:val="20"/>
                <w:szCs w:val="20"/>
              </w:rPr>
            </w:pPr>
            <w:commentRangeStart w:id="22"/>
            <w:commentRangeStart w:id="23"/>
            <w:r w:rsidRPr="00DE692F">
              <w:rPr>
                <w:rFonts w:ascii="Arial Narrow" w:eastAsia="Arial Narrow" w:hAnsi="Arial Narrow" w:cs="Arial Narrow"/>
                <w:sz w:val="20"/>
                <w:szCs w:val="20"/>
              </w:rPr>
              <w:t>Se ha elaborado un check list de insumos agrícolas no permitidos</w:t>
            </w:r>
            <w:commentRangeEnd w:id="22"/>
            <w:r w:rsidR="00770E31" w:rsidRPr="00DE692F">
              <w:rPr>
                <w:rStyle w:val="Refdecomentario"/>
                <w:rFonts w:ascii="Arial Narrow" w:eastAsia="Arial Narrow" w:hAnsi="Arial Narrow" w:cs="Arial Narrow"/>
                <w:sz w:val="20"/>
                <w:szCs w:val="20"/>
              </w:rPr>
              <w:commentReference w:id="22"/>
            </w:r>
            <w:commentRangeEnd w:id="23"/>
            <w:r w:rsidR="006739CE" w:rsidRPr="00DE692F">
              <w:rPr>
                <w:rStyle w:val="Refdecomentario"/>
                <w:rFonts w:ascii="Arial Narrow" w:eastAsia="Arial Narrow" w:hAnsi="Arial Narrow" w:cs="Arial Narrow"/>
                <w:sz w:val="20"/>
                <w:szCs w:val="20"/>
              </w:rPr>
              <w:commentReference w:id="23"/>
            </w:r>
            <w:r w:rsidR="00CA6FED" w:rsidRPr="00DE692F">
              <w:rPr>
                <w:rFonts w:ascii="Arial Narrow" w:eastAsia="Arial Narrow" w:hAnsi="Arial Narrow" w:cs="Arial Narrow"/>
                <w:sz w:val="20"/>
                <w:szCs w:val="20"/>
              </w:rPr>
              <w:t xml:space="preserve"> </w:t>
            </w:r>
            <w:r w:rsidR="00CA6FED" w:rsidRPr="00DE692F">
              <w:t xml:space="preserve"> </w:t>
            </w:r>
            <w:r w:rsidR="00EA7A5A">
              <w:rPr>
                <w:rFonts w:ascii="Arial Narrow" w:eastAsia="Arial Narrow" w:hAnsi="Arial Narrow" w:cs="Arial Narrow"/>
                <w:sz w:val="20"/>
                <w:szCs w:val="20"/>
              </w:rPr>
              <w:t>este check list es utilizado por la UGP para la revisión de productos que elabora el proyecto, según corresponda y además es compartido d</w:t>
            </w:r>
            <w:r w:rsidR="00CA6FED" w:rsidRPr="00DE692F">
              <w:rPr>
                <w:rFonts w:ascii="Arial Narrow" w:eastAsia="Arial Narrow" w:hAnsi="Arial Narrow" w:cs="Arial Narrow"/>
                <w:sz w:val="20"/>
                <w:szCs w:val="20"/>
              </w:rPr>
              <w:t>urante las capacitacion</w:t>
            </w:r>
            <w:r w:rsidR="00CA6FED" w:rsidRPr="00DE692F">
              <w:rPr>
                <w:rFonts w:ascii="Arial Narrow" w:eastAsia="Arial Narrow" w:hAnsi="Arial Narrow" w:cs="Arial Narrow"/>
                <w:sz w:val="20"/>
                <w:szCs w:val="20"/>
              </w:rPr>
              <w:lastRenderedPageBreak/>
              <w:t>es de inducción y fortalecimiento de capacidades a fin de promover un</w:t>
            </w:r>
            <w:r w:rsidR="00CA6FED" w:rsidRPr="00DE692F">
              <w:t xml:space="preserve"> </w:t>
            </w:r>
            <w:r w:rsidR="00CA6FED" w:rsidRPr="00DE692F">
              <w:rPr>
                <w:rFonts w:ascii="Arial Narrow" w:eastAsia="Arial Narrow" w:hAnsi="Arial Narrow" w:cs="Arial Narrow"/>
                <w:sz w:val="20"/>
                <w:szCs w:val="20"/>
              </w:rPr>
              <w:t>mayor cuidado con el medio ambiente y visibilizar los riesgos para la salud en adultos y niños.</w:t>
            </w:r>
          </w:p>
          <w:p w14:paraId="7692596C" w14:textId="77777777" w:rsidR="00973680" w:rsidRPr="00DE692F" w:rsidRDefault="00973680" w:rsidP="001F5831">
            <w:pPr>
              <w:spacing w:after="0"/>
              <w:rPr>
                <w:rFonts w:ascii="Arial Narrow" w:eastAsia="Arial Narrow" w:hAnsi="Arial Narrow" w:cs="Arial Narrow"/>
                <w:sz w:val="20"/>
                <w:szCs w:val="20"/>
              </w:rPr>
            </w:pPr>
          </w:p>
          <w:p w14:paraId="677D88EE"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UGP del proyecto</w:t>
            </w:r>
          </w:p>
        </w:tc>
        <w:tc>
          <w:tcPr>
            <w:tcW w:w="1230" w:type="dxa"/>
            <w:vMerge w:val="restart"/>
            <w:vAlign w:val="center"/>
          </w:tcPr>
          <w:p w14:paraId="55FB06A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1A3BEA2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incoherente al nivel del SES del PNUD. Los factores asociados a este riesgo son (a) el suministro limitado de agroquímicos en las zonas de cultivo que cumplen con las normas internacionales de gestión ambiental; </w:t>
            </w:r>
            <w:r w:rsidRPr="00DE692F">
              <w:rPr>
                <w:rFonts w:ascii="Arial Narrow" w:eastAsia="Arial Narrow" w:hAnsi="Arial Narrow" w:cs="Arial Narrow"/>
                <w:sz w:val="20"/>
                <w:szCs w:val="20"/>
              </w:rPr>
              <w:lastRenderedPageBreak/>
              <w:t xml:space="preserve">(b) el conocimiento limitado del uso eficiente y la eliminación adecuada de los agroquímicos de categoría III y IV de la OMS; y (c) los compromisos financieros de los agricultores con los proveedores de agroquímicos que limitan la transformación de sus sistemas de control de plagas y enfermedades. El procesamiento de productos puede incluir escorrentías agrícolas que contaminen las aguas superficiales y subterráneas, afectando a la calidad del agua para el consumo humano y a las condiciones para el desarrollo de las especies en estos ecosistemas, además de las emisiones de GEI.25 Otros factores asociados </w:t>
            </w:r>
            <w:r w:rsidRPr="00DE692F">
              <w:rPr>
                <w:rFonts w:ascii="Arial Narrow" w:eastAsia="Arial Narrow" w:hAnsi="Arial Narrow" w:cs="Arial Narrow"/>
                <w:sz w:val="20"/>
                <w:szCs w:val="20"/>
              </w:rPr>
              <w:lastRenderedPageBreak/>
              <w:t>a este riesgo son (a) la falta de tecnología adecuada para el tratamiento de las aguas residuales; (b) las deficiencias en los servicios de asistencia técnica para la gestión de las aguas residuales; y (c) aumento de las aguas residuales debido al incremento de la producción, como resultado de la aplicación de los paquetes tecnológicos promovidos por el proyecto.</w:t>
            </w:r>
          </w:p>
        </w:tc>
      </w:tr>
      <w:tr w:rsidR="00973680" w:rsidRPr="00DE692F" w14:paraId="44C551DF" w14:textId="77777777" w:rsidTr="001F5831">
        <w:trPr>
          <w:trHeight w:val="698"/>
        </w:trPr>
        <w:tc>
          <w:tcPr>
            <w:tcW w:w="570" w:type="dxa"/>
            <w:vMerge/>
            <w:vAlign w:val="center"/>
          </w:tcPr>
          <w:p w14:paraId="7515487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4C8A567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7223436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4DDEC20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75C581B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350D61A2"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4</w:t>
            </w:r>
          </w:p>
        </w:tc>
        <w:tc>
          <w:tcPr>
            <w:tcW w:w="1365" w:type="dxa"/>
            <w:vMerge/>
            <w:vAlign w:val="center"/>
          </w:tcPr>
          <w:p w14:paraId="5D6740E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D3252A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E98F3D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7CCF0A3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2DC6F58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7FCD8542" w14:textId="77777777" w:rsidTr="001F5831">
        <w:trPr>
          <w:trHeight w:val="698"/>
        </w:trPr>
        <w:tc>
          <w:tcPr>
            <w:tcW w:w="570" w:type="dxa"/>
            <w:vMerge/>
            <w:vAlign w:val="center"/>
          </w:tcPr>
          <w:p w14:paraId="60E2A31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197835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5C96A69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1A814CE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6D707BF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0F513742"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39C1A82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55DD84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0C40223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136E92A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13FD846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03994A3C" w14:textId="77777777" w:rsidTr="001F5831">
        <w:trPr>
          <w:trHeight w:val="698"/>
        </w:trPr>
        <w:tc>
          <w:tcPr>
            <w:tcW w:w="570" w:type="dxa"/>
            <w:vMerge w:val="restart"/>
            <w:vAlign w:val="center"/>
          </w:tcPr>
          <w:p w14:paraId="0A7E425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15</w:t>
            </w:r>
          </w:p>
        </w:tc>
        <w:tc>
          <w:tcPr>
            <w:tcW w:w="1875" w:type="dxa"/>
            <w:vMerge w:val="restart"/>
            <w:vAlign w:val="center"/>
          </w:tcPr>
          <w:p w14:paraId="28C4E0B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Las mejoras que el proyecto introducirá en la aplicación de las normas y planes de uso del suelo en las zonas priorizadas, en el fortalecimiento de las plataformas de control y vigilancia forestal, y en el seguimiento de la deforestación, podrían dar lugar al cambio de </w:t>
            </w:r>
            <w:r w:rsidRPr="00DE692F">
              <w:rPr>
                <w:rFonts w:ascii="Arial Narrow" w:eastAsia="Arial Narrow" w:hAnsi="Arial Narrow" w:cs="Arial Narrow"/>
                <w:sz w:val="20"/>
                <w:szCs w:val="20"/>
              </w:rPr>
              <w:lastRenderedPageBreak/>
              <w:t>uso del suelo y, en consecuencia, podrían provocar indirectamente el desplazamiento físico (o potencialmente el desalojo forzoso) de grupos de población que, debido a sus limitaciones técnicas y financieras, no podrían adaptarse a las nuevas disposiciones para la gestión sostenible del territorio. En consecuencia, podrían emigrar a zonas con menos vigilancia, o fuera del área del proyecto</w:t>
            </w:r>
          </w:p>
        </w:tc>
        <w:tc>
          <w:tcPr>
            <w:tcW w:w="2010" w:type="dxa"/>
            <w:vMerge w:val="restart"/>
            <w:vAlign w:val="center"/>
          </w:tcPr>
          <w:p w14:paraId="23ECF09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 xml:space="preserve">Las mejoras que el proyecto introducirá en la aplicación de las normas y planes de uso del suelo en las zonas priorizadas, en el fortalecimiento de las plataformas de control y vigilancia forestal, y en el seguimiento de la deforestación, podrían dar lugar al cambio de uso del suelo y, en </w:t>
            </w:r>
            <w:r w:rsidRPr="00DE692F">
              <w:rPr>
                <w:rFonts w:ascii="Arial Narrow" w:eastAsia="Arial Narrow" w:hAnsi="Arial Narrow" w:cs="Arial Narrow"/>
                <w:sz w:val="20"/>
                <w:szCs w:val="20"/>
              </w:rPr>
              <w:lastRenderedPageBreak/>
              <w:t>consecuencia, podrían provocar indirectamente el desplazamiento físico (o potencialmente el desalojo forzoso) de grupos de población que, debido a sus limitaciones técnicas y financieras, no podrían adaptarse a las nuevas disposiciones para la gestión sostenible del territorio.</w:t>
            </w:r>
          </w:p>
        </w:tc>
        <w:tc>
          <w:tcPr>
            <w:tcW w:w="1635" w:type="dxa"/>
            <w:vMerge w:val="restart"/>
            <w:vAlign w:val="center"/>
          </w:tcPr>
          <w:p w14:paraId="53D7C31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 xml:space="preserve">Como resultado de la mejora de la vigilancia, el control de los bosques y una gobernanza del paisaje más amplia existe el riesgo de que los actores involucrados en actividades económicas ilícitas (tala ilegal, </w:t>
            </w:r>
            <w:r w:rsidRPr="00DE692F">
              <w:rPr>
                <w:rFonts w:ascii="Arial Narrow" w:eastAsia="Arial Narrow" w:hAnsi="Arial Narrow" w:cs="Arial Narrow"/>
                <w:sz w:val="20"/>
                <w:szCs w:val="20"/>
              </w:rPr>
              <w:lastRenderedPageBreak/>
              <w:t>deforestación ilegal) puedan verse afectados negativamente. En consecuencia, podrían emigrar a zonas con menos vigilancia, o fuera del área del proyecto. El riesgo de desplazamiento para llevar a cabo actividades ilegales está probablemente asociado a los no indígenas que pueden formar parte del crimen organizado (asociado a la tala ilegal, el tráfico de tierras, la producción ilegal de coca), o que pueden ser agricultores sin tierra.</w:t>
            </w:r>
          </w:p>
        </w:tc>
        <w:tc>
          <w:tcPr>
            <w:tcW w:w="1305" w:type="dxa"/>
            <w:vMerge w:val="restart"/>
            <w:vAlign w:val="center"/>
          </w:tcPr>
          <w:p w14:paraId="17639C67"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Categoría 1, 1.6, 1.8</w:t>
            </w:r>
          </w:p>
        </w:tc>
        <w:tc>
          <w:tcPr>
            <w:tcW w:w="1305" w:type="dxa"/>
            <w:vAlign w:val="center"/>
          </w:tcPr>
          <w:p w14:paraId="6373CF7E"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2</w:t>
            </w:r>
          </w:p>
        </w:tc>
        <w:tc>
          <w:tcPr>
            <w:tcW w:w="1365" w:type="dxa"/>
            <w:vMerge w:val="restart"/>
            <w:vAlign w:val="center"/>
          </w:tcPr>
          <w:p w14:paraId="6CEBF7D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338F5EC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p w14:paraId="1E34AFC6" w14:textId="77777777" w:rsidR="00973680" w:rsidRPr="00DE692F" w:rsidRDefault="00973680" w:rsidP="001F5831">
            <w:pPr>
              <w:spacing w:after="144"/>
              <w:rPr>
                <w:rFonts w:ascii="Arial Narrow" w:eastAsia="Arial Narrow" w:hAnsi="Arial Narrow" w:cs="Arial Narrow"/>
                <w:sz w:val="20"/>
                <w:szCs w:val="20"/>
              </w:rPr>
            </w:pPr>
          </w:p>
        </w:tc>
        <w:tc>
          <w:tcPr>
            <w:tcW w:w="1200" w:type="dxa"/>
            <w:vMerge w:val="restart"/>
            <w:vAlign w:val="center"/>
          </w:tcPr>
          <w:p w14:paraId="6647F57A" w14:textId="77777777" w:rsidR="00973680" w:rsidRPr="00DE692F" w:rsidRDefault="00973680" w:rsidP="001F5831">
            <w:pPr>
              <w:spacing w:before="144" w:after="0"/>
              <w:rPr>
                <w:rFonts w:ascii="Arial Narrow" w:eastAsia="Arial Narrow" w:hAnsi="Arial Narrow" w:cs="Arial Narrow"/>
                <w:sz w:val="20"/>
                <w:szCs w:val="20"/>
              </w:rPr>
            </w:pPr>
            <w:commentRangeStart w:id="24"/>
            <w:commentRangeStart w:id="25"/>
            <w:r w:rsidRPr="00DE692F">
              <w:rPr>
                <w:rFonts w:ascii="Arial Narrow" w:eastAsia="Arial Narrow" w:hAnsi="Arial Narrow" w:cs="Arial Narrow"/>
                <w:sz w:val="20"/>
                <w:szCs w:val="20"/>
              </w:rPr>
              <w:t>Tratamiento del riesgo 15:</w:t>
            </w:r>
          </w:p>
          <w:p w14:paraId="2E7AF685" w14:textId="7FDC664A" w:rsidR="007010B7" w:rsidRDefault="007010B7"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 xml:space="preserve">Se han brindado inducciones </w:t>
            </w:r>
            <w:r w:rsidR="00816002">
              <w:rPr>
                <w:rFonts w:ascii="Arial Narrow" w:eastAsia="Arial Narrow" w:hAnsi="Arial Narrow" w:cs="Arial Narrow"/>
                <w:sz w:val="20"/>
                <w:szCs w:val="20"/>
              </w:rPr>
              <w:t xml:space="preserve">a consultores y empresas consultoras sobre el tema de salvaguardas sociales y </w:t>
            </w:r>
            <w:r w:rsidR="00816002">
              <w:rPr>
                <w:rFonts w:ascii="Arial Narrow" w:eastAsia="Arial Narrow" w:hAnsi="Arial Narrow" w:cs="Arial Narrow"/>
                <w:sz w:val="20"/>
                <w:szCs w:val="20"/>
              </w:rPr>
              <w:lastRenderedPageBreak/>
              <w:t>ambientales y de género abordándose el riesgo de desplazamiento físico y económico</w:t>
            </w:r>
          </w:p>
          <w:p w14:paraId="2122BD3E" w14:textId="77777777" w:rsidR="007010B7" w:rsidRDefault="007010B7" w:rsidP="001F5831">
            <w:pPr>
              <w:spacing w:before="144" w:after="0"/>
              <w:rPr>
                <w:rFonts w:ascii="Arial Narrow" w:eastAsia="Arial Narrow" w:hAnsi="Arial Narrow" w:cs="Arial Narrow"/>
                <w:sz w:val="20"/>
                <w:szCs w:val="20"/>
              </w:rPr>
            </w:pPr>
          </w:p>
          <w:p w14:paraId="75E9390C" w14:textId="03DFE0E1" w:rsidR="00816002" w:rsidRDefault="00816002"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Además, se elaboró un informe de sistematización de las lecciones aprendidas del proceso CCUSAF, que identifica recomendaciones para evitar el desplazamiento económico y físico de poblaciones.</w:t>
            </w:r>
          </w:p>
          <w:p w14:paraId="3A443DF2" w14:textId="2E640E5E" w:rsidR="00816002" w:rsidRDefault="00816002"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 xml:space="preserve">Del mismo modo, en el marco del servicio para identificar polígonos en Alto Amazonas para el </w:t>
            </w:r>
            <w:r>
              <w:rPr>
                <w:rFonts w:ascii="Arial Narrow" w:eastAsia="Arial Narrow" w:hAnsi="Arial Narrow" w:cs="Arial Narrow"/>
                <w:sz w:val="20"/>
                <w:szCs w:val="20"/>
              </w:rPr>
              <w:lastRenderedPageBreak/>
              <w:t>establecimiento de CCUSAF, se socializó la propuesta</w:t>
            </w:r>
            <w:r w:rsidR="003A6AC6">
              <w:rPr>
                <w:rFonts w:ascii="Arial Narrow" w:eastAsia="Arial Narrow" w:hAnsi="Arial Narrow" w:cs="Arial Narrow"/>
                <w:sz w:val="20"/>
                <w:szCs w:val="20"/>
              </w:rPr>
              <w:t xml:space="preserve"> de polígono</w:t>
            </w:r>
            <w:r>
              <w:rPr>
                <w:rFonts w:ascii="Arial Narrow" w:eastAsia="Arial Narrow" w:hAnsi="Arial Narrow" w:cs="Arial Narrow"/>
                <w:sz w:val="20"/>
                <w:szCs w:val="20"/>
              </w:rPr>
              <w:t xml:space="preserve"> </w:t>
            </w:r>
            <w:r w:rsidR="003A6AC6">
              <w:rPr>
                <w:rFonts w:ascii="Arial Narrow" w:eastAsia="Arial Narrow" w:hAnsi="Arial Narrow" w:cs="Arial Narrow"/>
                <w:sz w:val="20"/>
                <w:szCs w:val="20"/>
              </w:rPr>
              <w:t>a</w:t>
            </w:r>
            <w:r>
              <w:rPr>
                <w:rFonts w:ascii="Arial Narrow" w:eastAsia="Arial Narrow" w:hAnsi="Arial Narrow" w:cs="Arial Narrow"/>
                <w:sz w:val="20"/>
                <w:szCs w:val="20"/>
              </w:rPr>
              <w:t xml:space="preserve"> las organizaciones indígenas ORDEPIAA y CORPI SL</w:t>
            </w:r>
            <w:r w:rsidR="003A6AC6">
              <w:rPr>
                <w:rFonts w:ascii="Arial Narrow" w:eastAsia="Arial Narrow" w:hAnsi="Arial Narrow" w:cs="Arial Narrow"/>
                <w:sz w:val="20"/>
                <w:szCs w:val="20"/>
              </w:rPr>
              <w:t>, para evitar sobreposiciones en territorio indígena.</w:t>
            </w:r>
          </w:p>
          <w:p w14:paraId="08CEEBAA" w14:textId="696DC7BB" w:rsidR="00B90292" w:rsidRPr="00DE692F" w:rsidRDefault="00816002" w:rsidP="001F5831">
            <w:pPr>
              <w:spacing w:before="144" w:after="0"/>
              <w:rPr>
                <w:rFonts w:ascii="Arial Narrow" w:eastAsia="Arial Narrow" w:hAnsi="Arial Narrow" w:cs="Arial Narrow"/>
                <w:sz w:val="20"/>
                <w:szCs w:val="20"/>
              </w:rPr>
            </w:pPr>
            <w:r>
              <w:rPr>
                <w:rFonts w:ascii="Arial Narrow" w:eastAsia="Arial Narrow" w:hAnsi="Arial Narrow" w:cs="Arial Narrow"/>
                <w:sz w:val="20"/>
                <w:szCs w:val="20"/>
              </w:rPr>
              <w:t>Adicionalmente, s</w:t>
            </w:r>
            <w:r w:rsidR="00B90292" w:rsidRPr="00DE692F">
              <w:rPr>
                <w:rFonts w:ascii="Arial Narrow" w:eastAsia="Arial Narrow" w:hAnsi="Arial Narrow" w:cs="Arial Narrow"/>
                <w:sz w:val="20"/>
                <w:szCs w:val="20"/>
              </w:rPr>
              <w:t xml:space="preserve">e cuenta con los TDR para el estudio de desplazamiento, este nos ayudará a identificar medidas siempre que estén vinculadas con el proyecto, sin embargo, también los resultados servirán como insumos en </w:t>
            </w:r>
            <w:r w:rsidR="00B90292" w:rsidRPr="00DE692F">
              <w:rPr>
                <w:rFonts w:ascii="Arial Narrow" w:eastAsia="Arial Narrow" w:hAnsi="Arial Narrow" w:cs="Arial Narrow"/>
                <w:sz w:val="20"/>
                <w:szCs w:val="20"/>
              </w:rPr>
              <w:lastRenderedPageBreak/>
              <w:t>el fortalecimiento de capacidades den los PDLC, PDR, planes de vida entre otros procesos que el proyecto implementa,</w:t>
            </w:r>
            <w:r w:rsidR="00B90292" w:rsidRPr="00DE692F">
              <w:t xml:space="preserve"> </w:t>
            </w:r>
            <w:r w:rsidR="00B90292" w:rsidRPr="00DE692F">
              <w:rPr>
                <w:rFonts w:ascii="Arial Narrow" w:eastAsia="Arial Narrow" w:hAnsi="Arial Narrow" w:cs="Arial Narrow"/>
                <w:sz w:val="20"/>
                <w:szCs w:val="20"/>
              </w:rPr>
              <w:t>también serán socializados los resultados con tomadores de decisión en el territorio y ministerios estratégicos.</w:t>
            </w:r>
          </w:p>
          <w:p w14:paraId="71A12C26" w14:textId="77777777" w:rsidR="00973680" w:rsidRPr="00DE692F" w:rsidRDefault="00973680" w:rsidP="001F5831">
            <w:pPr>
              <w:spacing w:after="0"/>
              <w:rPr>
                <w:rFonts w:ascii="Arial Narrow" w:eastAsia="Arial Narrow" w:hAnsi="Arial Narrow" w:cs="Arial Narrow"/>
                <w:sz w:val="20"/>
                <w:szCs w:val="20"/>
              </w:rPr>
            </w:pPr>
          </w:p>
          <w:p w14:paraId="4F279E0C"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w:t>
            </w:r>
            <w:commentRangeEnd w:id="24"/>
            <w:r w:rsidR="003935C4" w:rsidRPr="00DE692F">
              <w:rPr>
                <w:rStyle w:val="Refdecomentario"/>
                <w:rFonts w:ascii="Arial Narrow" w:eastAsia="Arial Narrow" w:hAnsi="Arial Narrow" w:cs="Arial Narrow"/>
                <w:sz w:val="20"/>
                <w:szCs w:val="20"/>
              </w:rPr>
              <w:commentReference w:id="24"/>
            </w:r>
            <w:commentRangeEnd w:id="25"/>
            <w:r w:rsidR="00816002" w:rsidRPr="00DE692F">
              <w:rPr>
                <w:rStyle w:val="Refdecomentario"/>
                <w:rFonts w:ascii="Arial Narrow" w:eastAsia="Arial Narrow" w:hAnsi="Arial Narrow" w:cs="Arial Narrow"/>
                <w:sz w:val="20"/>
                <w:szCs w:val="20"/>
              </w:rPr>
              <w:commentReference w:id="25"/>
            </w:r>
            <w:r w:rsidRPr="00DE692F">
              <w:rPr>
                <w:rFonts w:ascii="Arial Narrow" w:eastAsia="Arial Narrow" w:hAnsi="Arial Narrow" w:cs="Arial Narrow"/>
                <w:sz w:val="20"/>
                <w:szCs w:val="20"/>
              </w:rPr>
              <w:t>: La UGP del proyecto</w:t>
            </w:r>
          </w:p>
        </w:tc>
        <w:tc>
          <w:tcPr>
            <w:tcW w:w="1230" w:type="dxa"/>
            <w:vMerge w:val="restart"/>
            <w:vAlign w:val="center"/>
          </w:tcPr>
          <w:p w14:paraId="3DE7101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64614B7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vigor hay indicios de que se han aplicado de forma inconsistente al </w:t>
            </w:r>
            <w:r w:rsidRPr="00DE692F">
              <w:rPr>
                <w:rFonts w:ascii="Arial Narrow" w:eastAsia="Arial Narrow" w:hAnsi="Arial Narrow" w:cs="Arial Narrow"/>
                <w:sz w:val="20"/>
                <w:szCs w:val="20"/>
              </w:rPr>
              <w:lastRenderedPageBreak/>
              <w:t xml:space="preserve">nivel del SES del PNUD. Como resultado de la mejora de la vigilancia, el control de los bosques y una gobernanza del paisaje más amplia, existe el riesgo de que los actores involucrados en actividades económicas ilícitas (tala ilegal, deforestación ilegal) puedan verse afectados negativamente. En Perú, la mayor parte de las actividades ilegales que dan lugar a acciones gubernamentales están directamente relacionadas con el crimen organizado. Estos actores se diferencian de los actores "informales", que se consideran vulnerables. Las comunidades indígenas corren un riesgo extremadamente </w:t>
            </w:r>
            <w:r w:rsidRPr="00DE692F">
              <w:rPr>
                <w:rFonts w:ascii="Arial Narrow" w:eastAsia="Arial Narrow" w:hAnsi="Arial Narrow" w:cs="Arial Narrow"/>
                <w:sz w:val="20"/>
                <w:szCs w:val="20"/>
              </w:rPr>
              <w:lastRenderedPageBreak/>
              <w:t>bajo de migración o desplazamiento porque han asegurado los derechos sobre la tierra en la zona del proyecto. El riesgo de desplazamiento para llevar a cabo actividades ilegales está probablemente asociado a los no indígenas que pueden formar parte del crimen organizado (asociado a la tala ilegal, el tráfico de tierras, la producción ilegal de coca), o que pueden ser agricultores sin tierra.</w:t>
            </w:r>
          </w:p>
        </w:tc>
      </w:tr>
      <w:tr w:rsidR="00973680" w:rsidRPr="00DE692F" w14:paraId="53BB88C8" w14:textId="77777777" w:rsidTr="001F5831">
        <w:trPr>
          <w:trHeight w:val="698"/>
        </w:trPr>
        <w:tc>
          <w:tcPr>
            <w:tcW w:w="570" w:type="dxa"/>
            <w:vMerge/>
            <w:vAlign w:val="center"/>
          </w:tcPr>
          <w:p w14:paraId="2AC19B2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6069888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4BA74B5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6C02B14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3E570A9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2C3E25F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5</w:t>
            </w:r>
          </w:p>
        </w:tc>
        <w:tc>
          <w:tcPr>
            <w:tcW w:w="1365" w:type="dxa"/>
            <w:vMerge/>
            <w:vAlign w:val="center"/>
          </w:tcPr>
          <w:p w14:paraId="67441A4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AB1C91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517BB43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11BDABC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3473A63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567F6F78" w14:textId="77777777" w:rsidTr="001F5831">
        <w:trPr>
          <w:trHeight w:val="698"/>
        </w:trPr>
        <w:tc>
          <w:tcPr>
            <w:tcW w:w="570" w:type="dxa"/>
            <w:vMerge/>
            <w:vAlign w:val="center"/>
          </w:tcPr>
          <w:p w14:paraId="5C7B387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E324F4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6B19128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3BE922C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79E7323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357F05C2"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Sustancial</w:t>
            </w:r>
          </w:p>
        </w:tc>
        <w:tc>
          <w:tcPr>
            <w:tcW w:w="1365" w:type="dxa"/>
            <w:vMerge/>
            <w:vAlign w:val="center"/>
          </w:tcPr>
          <w:p w14:paraId="650CB4E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385AC9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2A3AAAB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27B41F7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44283B8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F34638B" w14:textId="77777777" w:rsidTr="001F5831">
        <w:trPr>
          <w:trHeight w:val="698"/>
        </w:trPr>
        <w:tc>
          <w:tcPr>
            <w:tcW w:w="570" w:type="dxa"/>
            <w:vMerge w:val="restart"/>
            <w:vAlign w:val="center"/>
          </w:tcPr>
          <w:p w14:paraId="71E443DB"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16</w:t>
            </w:r>
          </w:p>
        </w:tc>
        <w:tc>
          <w:tcPr>
            <w:tcW w:w="1875" w:type="dxa"/>
            <w:vMerge w:val="restart"/>
            <w:vAlign w:val="center"/>
          </w:tcPr>
          <w:p w14:paraId="5D0C0CA9"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Riesgo de sobreestimación de las emisiones debido a las actividades integradas.</w:t>
            </w:r>
          </w:p>
        </w:tc>
        <w:tc>
          <w:tcPr>
            <w:tcW w:w="2010" w:type="dxa"/>
            <w:vMerge w:val="restart"/>
            <w:vAlign w:val="center"/>
          </w:tcPr>
          <w:p w14:paraId="324EA30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Sobreestimación de las emisiones debido a las actividades integradas.</w:t>
            </w:r>
          </w:p>
        </w:tc>
        <w:tc>
          <w:tcPr>
            <w:tcW w:w="1635" w:type="dxa"/>
            <w:vMerge w:val="restart"/>
            <w:vAlign w:val="center"/>
          </w:tcPr>
          <w:p w14:paraId="0DD067F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La adquisición de equipos para el proyecto puede ser subcontratada a nivel internacional (baja probabilidad), lo que da lugar a emisiones incorporadas. Esto </w:t>
            </w:r>
            <w:r w:rsidRPr="00DE692F">
              <w:rPr>
                <w:rFonts w:ascii="Arial Narrow" w:eastAsia="Arial Narrow" w:hAnsi="Arial Narrow" w:cs="Arial Narrow"/>
                <w:sz w:val="20"/>
                <w:szCs w:val="20"/>
              </w:rPr>
              <w:lastRenderedPageBreak/>
              <w:t>puede implicar emisiones de carbono indirectas debidas al proyecto.</w:t>
            </w:r>
          </w:p>
        </w:tc>
        <w:tc>
          <w:tcPr>
            <w:tcW w:w="1305" w:type="dxa"/>
            <w:vMerge w:val="restart"/>
            <w:vAlign w:val="center"/>
          </w:tcPr>
          <w:p w14:paraId="0F31E360"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Categoría 1, 1.5</w:t>
            </w:r>
          </w:p>
        </w:tc>
        <w:tc>
          <w:tcPr>
            <w:tcW w:w="1305" w:type="dxa"/>
            <w:vAlign w:val="center"/>
          </w:tcPr>
          <w:p w14:paraId="07EC8F87"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194AE39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690AF95D"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tc>
        <w:tc>
          <w:tcPr>
            <w:tcW w:w="1200" w:type="dxa"/>
            <w:vMerge w:val="restart"/>
            <w:vAlign w:val="center"/>
          </w:tcPr>
          <w:p w14:paraId="650D643C"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Tratamiento del riesgo 16: A la fecha, no se han identificado equipos que hayan sido adquiridos en el exterior </w:t>
            </w:r>
            <w:r w:rsidRPr="00DE692F">
              <w:rPr>
                <w:rFonts w:ascii="Arial Narrow" w:eastAsia="Arial Narrow" w:hAnsi="Arial Narrow" w:cs="Arial Narrow"/>
                <w:sz w:val="20"/>
                <w:szCs w:val="20"/>
              </w:rPr>
              <w:lastRenderedPageBreak/>
              <w:t xml:space="preserve">durante todo el año. Asimismo, no se tiene previsto la adquisición de equipos en el exterior durante la implementación del proyecto. </w:t>
            </w:r>
          </w:p>
          <w:p w14:paraId="4DCB50E0"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El proyecto ha iniciado una consultoría especializada para la estimación, monitoreo, y reporte de la mitigación de gases de efecto invernadero atribuible a las intervenciones del proyecto Folur que contribuirá a las prácticas de conservación y restauración </w:t>
            </w:r>
            <w:r w:rsidRPr="00DE692F">
              <w:rPr>
                <w:rFonts w:ascii="Arial Narrow" w:eastAsia="Arial Narrow" w:hAnsi="Arial Narrow" w:cs="Arial Narrow"/>
                <w:sz w:val="20"/>
                <w:szCs w:val="20"/>
              </w:rPr>
              <w:lastRenderedPageBreak/>
              <w:t>de hábitats que contribuyen</w:t>
            </w:r>
          </w:p>
          <w:p w14:paraId="0BEA7D9D"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a reducir las presiones sobre las áreas naturales protegidas (ANP) y los bosques de alto valor de conservación</w:t>
            </w:r>
          </w:p>
          <w:p w14:paraId="3DE1BA84"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(BAVC), promueven la conectividad y establecen corredores de vida silvestre en áreas degradadas</w:t>
            </w:r>
          </w:p>
          <w:p w14:paraId="17BD2290"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restauradas y áreas productivas en riesgo de degradación.</w:t>
            </w:r>
          </w:p>
          <w:p w14:paraId="4DE3A22A" w14:textId="77777777" w:rsidR="00973680" w:rsidRPr="00DE692F" w:rsidRDefault="00973680" w:rsidP="001F5831">
            <w:pPr>
              <w:spacing w:before="144" w:after="0"/>
              <w:rPr>
                <w:rFonts w:ascii="Arial Narrow" w:eastAsia="Arial Narrow" w:hAnsi="Arial Narrow" w:cs="Arial Narrow"/>
                <w:sz w:val="20"/>
                <w:szCs w:val="20"/>
              </w:rPr>
            </w:pPr>
          </w:p>
          <w:p w14:paraId="30D0F369" w14:textId="77777777" w:rsidR="00973680" w:rsidRPr="00DE692F" w:rsidRDefault="00973680" w:rsidP="001F5831">
            <w:pPr>
              <w:spacing w:after="0"/>
              <w:rPr>
                <w:rFonts w:ascii="Arial Narrow" w:eastAsia="Arial Narrow" w:hAnsi="Arial Narrow" w:cs="Arial Narrow"/>
                <w:sz w:val="20"/>
                <w:szCs w:val="20"/>
              </w:rPr>
            </w:pPr>
          </w:p>
          <w:p w14:paraId="5B16C7ED"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1400C590"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No escalado</w:t>
            </w:r>
          </w:p>
        </w:tc>
        <w:tc>
          <w:tcPr>
            <w:tcW w:w="1665" w:type="dxa"/>
            <w:vMerge w:val="restart"/>
            <w:vAlign w:val="center"/>
          </w:tcPr>
          <w:p w14:paraId="7CA7DF74"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 xml:space="preserve">Este riesgo no está cubierto por los requisitos legales nacionales para llevar a cabo las actividades del proyecto y/o cuando los requisitos están en </w:t>
            </w:r>
            <w:r w:rsidRPr="00DE692F">
              <w:rPr>
                <w:rFonts w:ascii="Arial Narrow" w:eastAsia="Arial Narrow" w:hAnsi="Arial Narrow" w:cs="Arial Narrow"/>
                <w:sz w:val="20"/>
                <w:szCs w:val="20"/>
              </w:rPr>
              <w:lastRenderedPageBreak/>
              <w:t>vigor hay indicios de que se han aplicado de forma inconsistente al nivel del SES del PNUD. La adquisición de equipos para el proyecto puede ser subcontratada a nivel internacional (baja probabilidad), lo que da lugar a emisiones incorporadas. Esto puede implicar emisiones de carbono indirectas debidas al proyecto. Podrían disminuir el impacto/beneficios climáticos previstos relacionados con las emisiones evitadas por el proyecto (impacto menor).</w:t>
            </w:r>
          </w:p>
        </w:tc>
      </w:tr>
      <w:tr w:rsidR="00973680" w:rsidRPr="00DE692F" w14:paraId="63FF73F2" w14:textId="77777777" w:rsidTr="001F5831">
        <w:trPr>
          <w:trHeight w:val="698"/>
        </w:trPr>
        <w:tc>
          <w:tcPr>
            <w:tcW w:w="570" w:type="dxa"/>
            <w:vMerge/>
            <w:vAlign w:val="center"/>
          </w:tcPr>
          <w:p w14:paraId="27DBB5D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32DB097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1806DB5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A1992E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2224F91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7F74AD09"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3</w:t>
            </w:r>
          </w:p>
        </w:tc>
        <w:tc>
          <w:tcPr>
            <w:tcW w:w="1365" w:type="dxa"/>
            <w:vMerge/>
            <w:vAlign w:val="center"/>
          </w:tcPr>
          <w:p w14:paraId="3A1F2FA0"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5972E29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276CAAE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0EE5422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0C278AA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1F729A5A" w14:textId="77777777" w:rsidTr="001F5831">
        <w:trPr>
          <w:trHeight w:val="698"/>
        </w:trPr>
        <w:tc>
          <w:tcPr>
            <w:tcW w:w="570" w:type="dxa"/>
            <w:vMerge/>
            <w:vAlign w:val="center"/>
          </w:tcPr>
          <w:p w14:paraId="5A10031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3353BD69"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2E962B21"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2015D7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196C6FB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700650C9"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Bajo</w:t>
            </w:r>
          </w:p>
        </w:tc>
        <w:tc>
          <w:tcPr>
            <w:tcW w:w="1365" w:type="dxa"/>
            <w:vMerge/>
            <w:vAlign w:val="center"/>
          </w:tcPr>
          <w:p w14:paraId="3D562DA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2E22123F"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6C22C5AA"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0D05EF3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37B7C0F7"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23AA0714" w14:textId="77777777" w:rsidTr="001F5831">
        <w:trPr>
          <w:trHeight w:val="698"/>
        </w:trPr>
        <w:tc>
          <w:tcPr>
            <w:tcW w:w="570" w:type="dxa"/>
            <w:vMerge w:val="restart"/>
            <w:vAlign w:val="center"/>
          </w:tcPr>
          <w:p w14:paraId="0A982147"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lastRenderedPageBreak/>
              <w:t>17</w:t>
            </w:r>
          </w:p>
        </w:tc>
        <w:tc>
          <w:tcPr>
            <w:tcW w:w="1875" w:type="dxa"/>
            <w:vMerge w:val="restart"/>
            <w:vAlign w:val="center"/>
          </w:tcPr>
          <w:p w14:paraId="0941453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Riesgos en la cadena de valor debidos a cambios políticos o reglamentarios Transversal a través de principios y normas.</w:t>
            </w:r>
          </w:p>
        </w:tc>
        <w:tc>
          <w:tcPr>
            <w:tcW w:w="2010" w:type="dxa"/>
            <w:vMerge w:val="restart"/>
            <w:vAlign w:val="center"/>
          </w:tcPr>
          <w:p w14:paraId="2808E6BC"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Las nuevas políticas y regulaciones ajenas a las condiciones preexistentes son una alteración en esencia.</w:t>
            </w:r>
          </w:p>
        </w:tc>
        <w:tc>
          <w:tcPr>
            <w:tcW w:w="1635" w:type="dxa"/>
            <w:vMerge w:val="restart"/>
            <w:vAlign w:val="center"/>
          </w:tcPr>
          <w:p w14:paraId="78888406"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Hay que esperar impactos imprevistos en función del tipo de sector y actividad a desarrollar.</w:t>
            </w:r>
          </w:p>
        </w:tc>
        <w:tc>
          <w:tcPr>
            <w:tcW w:w="1305" w:type="dxa"/>
            <w:vMerge w:val="restart"/>
            <w:vAlign w:val="center"/>
          </w:tcPr>
          <w:p w14:paraId="283DD032"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Categoría 6, 6.1</w:t>
            </w:r>
          </w:p>
        </w:tc>
        <w:tc>
          <w:tcPr>
            <w:tcW w:w="1305" w:type="dxa"/>
            <w:vAlign w:val="center"/>
          </w:tcPr>
          <w:p w14:paraId="6668C4EF"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Probabilidad: 3</w:t>
            </w:r>
          </w:p>
        </w:tc>
        <w:tc>
          <w:tcPr>
            <w:tcW w:w="1365" w:type="dxa"/>
            <w:vMerge w:val="restart"/>
            <w:vAlign w:val="center"/>
          </w:tcPr>
          <w:p w14:paraId="5C57FC8F"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Junio 2023 – junio 2029</w:t>
            </w:r>
          </w:p>
        </w:tc>
        <w:tc>
          <w:tcPr>
            <w:tcW w:w="1215" w:type="dxa"/>
            <w:vMerge w:val="restart"/>
            <w:vAlign w:val="center"/>
          </w:tcPr>
          <w:p w14:paraId="3680DDD4"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La UGP del Proyecto</w:t>
            </w:r>
          </w:p>
          <w:p w14:paraId="08CAECBB" w14:textId="77777777" w:rsidR="00973680" w:rsidRPr="00DE692F" w:rsidRDefault="00973680" w:rsidP="001F5831">
            <w:pPr>
              <w:spacing w:after="144"/>
              <w:rPr>
                <w:rFonts w:ascii="Arial Narrow" w:eastAsia="Arial Narrow" w:hAnsi="Arial Narrow" w:cs="Arial Narrow"/>
                <w:sz w:val="20"/>
                <w:szCs w:val="20"/>
              </w:rPr>
            </w:pPr>
          </w:p>
        </w:tc>
        <w:tc>
          <w:tcPr>
            <w:tcW w:w="1200" w:type="dxa"/>
            <w:vMerge w:val="restart"/>
            <w:vAlign w:val="center"/>
          </w:tcPr>
          <w:p w14:paraId="6BE865D2" w14:textId="77777777" w:rsidR="00973680" w:rsidRPr="00DE692F" w:rsidRDefault="00973680" w:rsidP="001F5831">
            <w:pPr>
              <w:spacing w:before="144" w:after="0"/>
              <w:rPr>
                <w:rFonts w:ascii="Arial Narrow" w:eastAsia="Arial Narrow" w:hAnsi="Arial Narrow" w:cs="Arial Narrow"/>
                <w:sz w:val="20"/>
                <w:szCs w:val="20"/>
              </w:rPr>
            </w:pPr>
            <w:r w:rsidRPr="00DE692F">
              <w:rPr>
                <w:rFonts w:ascii="Arial Narrow" w:eastAsia="Arial Narrow" w:hAnsi="Arial Narrow" w:cs="Arial Narrow"/>
                <w:sz w:val="20"/>
                <w:szCs w:val="20"/>
              </w:rPr>
              <w:t>Tratamiento del riesgo 17: No se ha identificado una nueva política o regulación.</w:t>
            </w:r>
          </w:p>
          <w:p w14:paraId="4D9729B7" w14:textId="77777777" w:rsidR="00973680" w:rsidRPr="00DE692F" w:rsidRDefault="00973680" w:rsidP="001F5831">
            <w:pPr>
              <w:spacing w:after="0"/>
              <w:rPr>
                <w:rFonts w:ascii="Arial Narrow" w:eastAsia="Arial Narrow" w:hAnsi="Arial Narrow" w:cs="Arial Narrow"/>
                <w:sz w:val="20"/>
                <w:szCs w:val="20"/>
              </w:rPr>
            </w:pPr>
          </w:p>
          <w:p w14:paraId="3B283835" w14:textId="77777777" w:rsidR="00973680" w:rsidRPr="00DE692F" w:rsidRDefault="00973680" w:rsidP="001F5831">
            <w:pPr>
              <w:spacing w:after="144"/>
              <w:rPr>
                <w:rFonts w:ascii="Arial Narrow" w:eastAsia="Arial Narrow" w:hAnsi="Arial Narrow" w:cs="Arial Narrow"/>
                <w:sz w:val="20"/>
                <w:szCs w:val="20"/>
              </w:rPr>
            </w:pPr>
            <w:r w:rsidRPr="00DE692F">
              <w:rPr>
                <w:rFonts w:ascii="Arial Narrow" w:eastAsia="Arial Narrow" w:hAnsi="Arial Narrow" w:cs="Arial Narrow"/>
                <w:sz w:val="20"/>
                <w:szCs w:val="20"/>
              </w:rPr>
              <w:t>Responsable: La UGP del proyecto</w:t>
            </w:r>
          </w:p>
        </w:tc>
        <w:tc>
          <w:tcPr>
            <w:tcW w:w="1230" w:type="dxa"/>
            <w:vMerge w:val="restart"/>
            <w:vAlign w:val="center"/>
          </w:tcPr>
          <w:p w14:paraId="11012438"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No escalado</w:t>
            </w:r>
          </w:p>
        </w:tc>
        <w:tc>
          <w:tcPr>
            <w:tcW w:w="1665" w:type="dxa"/>
            <w:vMerge w:val="restart"/>
            <w:vAlign w:val="center"/>
          </w:tcPr>
          <w:p w14:paraId="73D73F73" w14:textId="77777777" w:rsidR="00973680" w:rsidRPr="00DE692F" w:rsidRDefault="00973680" w:rsidP="001F5831">
            <w:pPr>
              <w:spacing w:before="144" w:after="144"/>
              <w:rPr>
                <w:rFonts w:ascii="Arial Narrow" w:eastAsia="Arial Narrow" w:hAnsi="Arial Narrow" w:cs="Arial Narrow"/>
                <w:sz w:val="20"/>
                <w:szCs w:val="20"/>
              </w:rPr>
            </w:pPr>
            <w:r w:rsidRPr="00DE692F">
              <w:rPr>
                <w:rFonts w:ascii="Arial Narrow" w:eastAsia="Arial Narrow" w:hAnsi="Arial Narrow" w:cs="Arial Narrow"/>
                <w:sz w:val="20"/>
                <w:szCs w:val="20"/>
              </w:rPr>
              <w:t>Este riesgo no está cubierto por los requisitos legales nacionales para llevar a cabo las actividades del proyecto y/o cuando los requisitos están en vigor hay indicios de que se han aplicado de forma inconsistente al nivel del SES del PNUD. Puede ocurrir que los cambios/influencia en las políticas y normativas actuales tengan un efecto ascendente. Las nuevas políticas y normativas ajenas a las condiciones preexistentes son una alteración, en esencia. Los impactos imprevistos esperados deben ser previstos en función del tipo de sector y actividad a desarrollar.</w:t>
            </w:r>
          </w:p>
        </w:tc>
      </w:tr>
      <w:tr w:rsidR="00973680" w:rsidRPr="00DE692F" w14:paraId="0E5432F3" w14:textId="77777777" w:rsidTr="001F5831">
        <w:trPr>
          <w:trHeight w:val="698"/>
        </w:trPr>
        <w:tc>
          <w:tcPr>
            <w:tcW w:w="570" w:type="dxa"/>
            <w:vMerge/>
            <w:vAlign w:val="center"/>
          </w:tcPr>
          <w:p w14:paraId="4CDE5E1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09CD3BD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217CFDD2"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532237E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62C7983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E278D7D"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Impacto: 2</w:t>
            </w:r>
          </w:p>
        </w:tc>
        <w:tc>
          <w:tcPr>
            <w:tcW w:w="1365" w:type="dxa"/>
            <w:vMerge/>
            <w:vAlign w:val="center"/>
          </w:tcPr>
          <w:p w14:paraId="6E6BB28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34ACAEC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5FB9B19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71DE57D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79DC2A6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r w:rsidR="00973680" w:rsidRPr="00DE692F" w14:paraId="4B93C5E7" w14:textId="77777777" w:rsidTr="001F5831">
        <w:trPr>
          <w:trHeight w:val="698"/>
        </w:trPr>
        <w:tc>
          <w:tcPr>
            <w:tcW w:w="570" w:type="dxa"/>
            <w:vMerge/>
            <w:vAlign w:val="center"/>
          </w:tcPr>
          <w:p w14:paraId="4F33534B"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875" w:type="dxa"/>
            <w:vMerge/>
            <w:vAlign w:val="center"/>
          </w:tcPr>
          <w:p w14:paraId="7F0F34DE"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2010" w:type="dxa"/>
            <w:vMerge/>
            <w:vAlign w:val="center"/>
          </w:tcPr>
          <w:p w14:paraId="056C139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35" w:type="dxa"/>
            <w:vMerge/>
            <w:vAlign w:val="center"/>
          </w:tcPr>
          <w:p w14:paraId="1E37A9AC"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Merge/>
            <w:vAlign w:val="center"/>
          </w:tcPr>
          <w:p w14:paraId="5874F8F6"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305" w:type="dxa"/>
            <w:vAlign w:val="center"/>
          </w:tcPr>
          <w:p w14:paraId="1A7FC82A" w14:textId="77777777" w:rsidR="00973680" w:rsidRPr="00DE692F" w:rsidRDefault="00973680" w:rsidP="001F5831">
            <w:pPr>
              <w:spacing w:before="144" w:after="144"/>
              <w:jc w:val="left"/>
              <w:rPr>
                <w:rFonts w:ascii="Arial Narrow" w:eastAsia="Arial Narrow" w:hAnsi="Arial Narrow" w:cs="Arial Narrow"/>
                <w:sz w:val="20"/>
                <w:szCs w:val="20"/>
              </w:rPr>
            </w:pPr>
            <w:r w:rsidRPr="00DE692F">
              <w:rPr>
                <w:rFonts w:ascii="Arial Narrow" w:eastAsia="Arial Narrow" w:hAnsi="Arial Narrow" w:cs="Arial Narrow"/>
                <w:sz w:val="20"/>
                <w:szCs w:val="20"/>
              </w:rPr>
              <w:t>Nivel de riesgo:</w:t>
            </w:r>
            <w:r w:rsidRPr="00DE692F">
              <w:t xml:space="preserve"> </w:t>
            </w:r>
            <w:r w:rsidRPr="00DE692F">
              <w:rPr>
                <w:rFonts w:ascii="Arial Narrow" w:eastAsia="Arial Narrow" w:hAnsi="Arial Narrow" w:cs="Arial Narrow"/>
                <w:sz w:val="20"/>
                <w:szCs w:val="20"/>
              </w:rPr>
              <w:t>Moderado</w:t>
            </w:r>
          </w:p>
        </w:tc>
        <w:tc>
          <w:tcPr>
            <w:tcW w:w="1365" w:type="dxa"/>
            <w:vMerge/>
            <w:vAlign w:val="center"/>
          </w:tcPr>
          <w:p w14:paraId="332EC215"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15" w:type="dxa"/>
            <w:vMerge/>
            <w:vAlign w:val="center"/>
          </w:tcPr>
          <w:p w14:paraId="23D87CC4"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00" w:type="dxa"/>
            <w:vMerge/>
            <w:vAlign w:val="center"/>
          </w:tcPr>
          <w:p w14:paraId="43373C93"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230" w:type="dxa"/>
            <w:vMerge/>
            <w:vAlign w:val="center"/>
          </w:tcPr>
          <w:p w14:paraId="391BB748"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c>
          <w:tcPr>
            <w:tcW w:w="1665" w:type="dxa"/>
            <w:vMerge/>
            <w:vAlign w:val="center"/>
          </w:tcPr>
          <w:p w14:paraId="775323DD" w14:textId="77777777" w:rsidR="00973680" w:rsidRPr="00DE692F" w:rsidRDefault="00973680" w:rsidP="001F5831">
            <w:pPr>
              <w:widowControl w:val="0"/>
              <w:pBdr>
                <w:top w:val="nil"/>
                <w:left w:val="nil"/>
                <w:bottom w:val="nil"/>
                <w:right w:val="nil"/>
                <w:between w:val="nil"/>
              </w:pBdr>
              <w:spacing w:after="0" w:line="276" w:lineRule="auto"/>
              <w:jc w:val="left"/>
              <w:rPr>
                <w:rFonts w:ascii="Arial Narrow" w:eastAsia="Arial Narrow" w:hAnsi="Arial Narrow" w:cs="Arial Narrow"/>
                <w:sz w:val="20"/>
                <w:szCs w:val="20"/>
              </w:rPr>
            </w:pPr>
          </w:p>
        </w:tc>
      </w:tr>
    </w:tbl>
    <w:p w14:paraId="50DBF701" w14:textId="4D1DD00C" w:rsidR="001B19B3" w:rsidRPr="00DE692F" w:rsidRDefault="001B19B3" w:rsidP="001B19B3">
      <w:pPr>
        <w:spacing w:after="0"/>
        <w:jc w:val="left"/>
        <w:rPr>
          <w:rFonts w:asciiTheme="minorHAnsi" w:eastAsiaTheme="minorEastAsia" w:hAnsiTheme="minorHAnsi" w:cstheme="minorBidi"/>
          <w:b/>
          <w:bCs/>
          <w:sz w:val="20"/>
          <w:szCs w:val="20"/>
        </w:rPr>
      </w:pPr>
      <w:r w:rsidRPr="00DE692F">
        <w:rPr>
          <w:rFonts w:asciiTheme="minorHAnsi" w:eastAsiaTheme="minorEastAsia" w:hAnsiTheme="minorHAnsi" w:cstheme="minorBidi"/>
          <w:b/>
          <w:bCs/>
          <w:sz w:val="20"/>
          <w:szCs w:val="20"/>
        </w:rPr>
        <w:br w:type="page"/>
      </w:r>
    </w:p>
    <w:p w14:paraId="219FD49B" w14:textId="77777777" w:rsidR="001B19B3" w:rsidRPr="00DE692F" w:rsidRDefault="001B19B3" w:rsidP="001B19B3">
      <w:pPr>
        <w:keepNext/>
        <w:jc w:val="center"/>
        <w:rPr>
          <w:b/>
          <w:szCs w:val="22"/>
        </w:rPr>
      </w:pPr>
      <w:r w:rsidRPr="00DE692F">
        <w:rPr>
          <w:b/>
          <w:szCs w:val="22"/>
        </w:rPr>
        <w:lastRenderedPageBreak/>
        <w:t>Anexo 1. Categorías de riesgo de ERM</w:t>
      </w:r>
    </w:p>
    <w:tbl>
      <w:tblPr>
        <w:tblStyle w:val="Tablaconcuadrcula"/>
        <w:tblpPr w:leftFromText="180" w:rightFromText="180" w:vertAnchor="text" w:horzAnchor="margin" w:tblpXSpec="center" w:tblpY="181"/>
        <w:tblW w:w="15925" w:type="dxa"/>
        <w:tblLayout w:type="fixed"/>
        <w:tblLook w:val="04A0" w:firstRow="1" w:lastRow="0" w:firstColumn="1" w:lastColumn="0" w:noHBand="0" w:noVBand="1"/>
      </w:tblPr>
      <w:tblGrid>
        <w:gridCol w:w="1975"/>
        <w:gridCol w:w="1710"/>
        <w:gridCol w:w="1890"/>
        <w:gridCol w:w="1980"/>
        <w:gridCol w:w="1980"/>
        <w:gridCol w:w="2070"/>
        <w:gridCol w:w="2160"/>
        <w:gridCol w:w="2160"/>
      </w:tblGrid>
      <w:tr w:rsidR="00F11991" w:rsidRPr="00DE692F" w14:paraId="3DBEE4E3" w14:textId="77777777" w:rsidTr="00884799">
        <w:tc>
          <w:tcPr>
            <w:tcW w:w="1975"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6F642EB"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1. Sociales y ambientales</w:t>
            </w:r>
          </w:p>
        </w:tc>
        <w:tc>
          <w:tcPr>
            <w:tcW w:w="171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2072122E"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 xml:space="preserve">2. Financieros </w:t>
            </w:r>
          </w:p>
        </w:tc>
        <w:tc>
          <w:tcPr>
            <w:tcW w:w="189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3303C43"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 xml:space="preserve">3. Operacionales </w:t>
            </w:r>
          </w:p>
        </w:tc>
        <w:tc>
          <w:tcPr>
            <w:tcW w:w="19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C84B01A"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4. Organizacionales</w:t>
            </w:r>
          </w:p>
        </w:tc>
        <w:tc>
          <w:tcPr>
            <w:tcW w:w="198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0964C684"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5. Reputacional</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7A206D2C"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 xml:space="preserve">2. Regulatorios </w:t>
            </w:r>
          </w:p>
        </w:tc>
        <w:tc>
          <w:tcPr>
            <w:tcW w:w="216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49092C2B"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 xml:space="preserve">7. Estratégicos </w:t>
            </w:r>
          </w:p>
        </w:tc>
        <w:tc>
          <w:tcPr>
            <w:tcW w:w="216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FF038C5" w14:textId="77777777" w:rsidR="00F11991" w:rsidRPr="00DE692F" w:rsidRDefault="00F11991" w:rsidP="00884799">
            <w:pPr>
              <w:rPr>
                <w:rFonts w:asciiTheme="minorHAnsi" w:hAnsiTheme="minorHAnsi" w:cstheme="minorHAnsi"/>
                <w:color w:val="FFFFFF" w:themeColor="background1"/>
                <w:sz w:val="18"/>
                <w:szCs w:val="18"/>
              </w:rPr>
            </w:pPr>
            <w:r w:rsidRPr="00DE692F">
              <w:rPr>
                <w:rFonts w:asciiTheme="minorHAnsi" w:hAnsiTheme="minorHAnsi" w:cstheme="minorHAnsi"/>
                <w:color w:val="FFFFFF" w:themeColor="background1"/>
                <w:sz w:val="18"/>
                <w:szCs w:val="18"/>
              </w:rPr>
              <w:t>8. Protección y Seguridad</w:t>
            </w:r>
          </w:p>
        </w:tc>
      </w:tr>
      <w:tr w:rsidR="00F11991" w:rsidRPr="00DE692F" w14:paraId="2272E1B7" w14:textId="77777777" w:rsidTr="00884799">
        <w:tc>
          <w:tcPr>
            <w:tcW w:w="1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FB41A"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Derechos humanos</w:t>
            </w:r>
          </w:p>
          <w:p w14:paraId="758D28E7"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Igualdad de género y empoderamiento de la mujer.</w:t>
            </w:r>
          </w:p>
          <w:p w14:paraId="43670F7E"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Reclamos (responsabilidad ante las partes interesadas)</w:t>
            </w:r>
          </w:p>
          <w:p w14:paraId="63CA2C10"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Biodiversidad y uso de los recursos naturales</w:t>
            </w:r>
          </w:p>
          <w:p w14:paraId="5E09531A"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Cambio climático y desastres</w:t>
            </w:r>
          </w:p>
          <w:p w14:paraId="26C5FEDD"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Salud y seguridad comunitaria</w:t>
            </w:r>
          </w:p>
          <w:p w14:paraId="14CF25C7"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Patrimonio cultural</w:t>
            </w:r>
          </w:p>
          <w:p w14:paraId="69E8ED53"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Desplazamiento y reasentamiento</w:t>
            </w:r>
          </w:p>
          <w:p w14:paraId="27E58589"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Derechos de los pueblos indígenas</w:t>
            </w:r>
          </w:p>
          <w:p w14:paraId="2B40A054"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Condiciones/normas laborales</w:t>
            </w:r>
          </w:p>
          <w:p w14:paraId="69537BE6"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Contaminación y eficiencia de los recursos</w:t>
            </w:r>
          </w:p>
          <w:p w14:paraId="42C50809"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b/>
                <w:bCs/>
                <w:sz w:val="18"/>
                <w:szCs w:val="18"/>
              </w:rPr>
            </w:pPr>
            <w:r w:rsidRPr="00DE692F">
              <w:rPr>
                <w:rFonts w:asciiTheme="minorHAnsi" w:hAnsiTheme="minorHAnsi" w:cstheme="minorHAnsi"/>
                <w:b/>
                <w:bCs/>
                <w:sz w:val="18"/>
                <w:szCs w:val="18"/>
              </w:rPr>
              <w:t>Participación de las partes interesadas</w:t>
            </w:r>
          </w:p>
          <w:p w14:paraId="1BD2272D" w14:textId="77777777" w:rsidR="00F11991" w:rsidRPr="00DE692F"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Explotación y abuso sexuales</w:t>
            </w:r>
          </w:p>
          <w:p w14:paraId="68359E05" w14:textId="77777777" w:rsidR="00F11991" w:rsidRPr="00DE692F" w:rsidRDefault="00F11991" w:rsidP="00884799">
            <w:pPr>
              <w:ind w:left="-102"/>
              <w:rPr>
                <w:rFonts w:asciiTheme="minorHAnsi" w:hAnsiTheme="minorHAnsi" w:cstheme="minorHAnsi"/>
                <w:sz w:val="18"/>
                <w:szCs w:val="18"/>
              </w:rPr>
            </w:pPr>
          </w:p>
          <w:p w14:paraId="6BFC1A41" w14:textId="77777777" w:rsidR="00F11991" w:rsidRPr="00DE692F" w:rsidRDefault="00F11991" w:rsidP="00884799">
            <w:pPr>
              <w:ind w:left="330" w:hanging="360"/>
              <w:rPr>
                <w:rFonts w:asciiTheme="minorHAnsi" w:hAnsiTheme="minorHAnsi" w:cstheme="minorHAnsi"/>
                <w:sz w:val="18"/>
                <w:szCs w:val="18"/>
              </w:rPr>
            </w:pPr>
          </w:p>
          <w:p w14:paraId="418813CB" w14:textId="77777777" w:rsidR="00F11991" w:rsidRPr="00DE692F" w:rsidRDefault="00F11991" w:rsidP="00884799">
            <w:pPr>
              <w:rPr>
                <w:rFonts w:asciiTheme="minorHAnsi" w:hAnsiTheme="minorHAnsi" w:cstheme="minorHAnsi"/>
                <w:i/>
                <w:iCs/>
                <w:sz w:val="18"/>
                <w:szCs w:val="18"/>
                <w:highlight w:val="yellow"/>
              </w:rPr>
            </w:pPr>
          </w:p>
          <w:p w14:paraId="1C6C270B" w14:textId="77777777" w:rsidR="00F11991" w:rsidRPr="00DE692F" w:rsidRDefault="00F11991" w:rsidP="00884799">
            <w:pPr>
              <w:ind w:left="330"/>
              <w:rPr>
                <w:rFonts w:asciiTheme="minorHAnsi" w:hAnsiTheme="minorHAnsi" w:cstheme="minorHAnsi"/>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2291BB"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Recuperación de costos</w:t>
            </w:r>
          </w:p>
          <w:p w14:paraId="553DB0BD"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Relación entre calidad y precio</w:t>
            </w:r>
          </w:p>
          <w:p w14:paraId="3AB21B9A"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Corrupción y fraude</w:t>
            </w:r>
          </w:p>
          <w:p w14:paraId="5DD9ADB9"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Fluctuación en la tasa de crédito, el mercado y las divisas</w:t>
            </w:r>
          </w:p>
          <w:p w14:paraId="02EA76B1"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 xml:space="preserve">Entrega </w:t>
            </w:r>
          </w:p>
          <w:p w14:paraId="77D807AA" w14:textId="77777777" w:rsidR="00F11991" w:rsidRPr="00DE692F"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DE692F">
              <w:rPr>
                <w:rFonts w:asciiTheme="minorHAnsi" w:hAnsiTheme="minorHAnsi" w:cstheme="minorHAnsi"/>
                <w:sz w:val="18"/>
                <w:szCs w:val="18"/>
              </w:rPr>
              <w:t>Disponibilidad de presupuesto y flujo de efectivo</w:t>
            </w:r>
          </w:p>
          <w:p w14:paraId="35AAFAC6" w14:textId="77777777" w:rsidR="00F11991" w:rsidRPr="00DE692F" w:rsidRDefault="00F11991" w:rsidP="00884799">
            <w:pPr>
              <w:ind w:left="330"/>
              <w:rPr>
                <w:rFonts w:asciiTheme="minorHAnsi" w:hAnsiTheme="minorHAnsi" w:cstheme="minorHAnsi"/>
                <w:sz w:val="18"/>
                <w:szCs w:val="18"/>
              </w:rPr>
            </w:pPr>
          </w:p>
          <w:p w14:paraId="7B634BA1" w14:textId="77777777" w:rsidR="00F11991" w:rsidRPr="00DE692F" w:rsidRDefault="00F11991" w:rsidP="00884799">
            <w:pPr>
              <w:rPr>
                <w:rFonts w:asciiTheme="minorHAnsi" w:hAnsiTheme="minorHAnsi" w:cstheme="minorHAnsi"/>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94731"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 xml:space="preserve">Capacidad de respuesta a las auditorías y las evaluaciones (demoras en la ejecución de auditorías y evaluaciones) </w:t>
            </w:r>
          </w:p>
          <w:p w14:paraId="1B0CE544"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 xml:space="preserve">Liderazgo y gestión </w:t>
            </w:r>
          </w:p>
          <w:p w14:paraId="58C41999"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Flexibilidad y gestión de las oportunidades</w:t>
            </w:r>
          </w:p>
          <w:p w14:paraId="7616EFC0"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Presentación de informes y comunicación</w:t>
            </w:r>
          </w:p>
          <w:p w14:paraId="68F88B8A"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Participación de socios.</w:t>
            </w:r>
          </w:p>
          <w:p w14:paraId="220E1177"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Estrategia de transición y salida.</w:t>
            </w:r>
          </w:p>
          <w:p w14:paraId="10C0BE07"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b/>
                <w:bCs/>
                <w:sz w:val="18"/>
                <w:szCs w:val="18"/>
              </w:rPr>
            </w:pPr>
            <w:r w:rsidRPr="00DE692F">
              <w:rPr>
                <w:rFonts w:asciiTheme="minorHAnsi" w:hAnsiTheme="minorHAnsi" w:cstheme="minorHAnsi"/>
                <w:b/>
                <w:bCs/>
                <w:sz w:val="18"/>
                <w:szCs w:val="18"/>
              </w:rPr>
              <w:t>Estrategia de transición y salida</w:t>
            </w:r>
          </w:p>
          <w:p w14:paraId="4D46C412" w14:textId="77777777" w:rsidR="00F11991" w:rsidRPr="00DE692F"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DE692F">
              <w:rPr>
                <w:rFonts w:asciiTheme="minorHAnsi" w:hAnsiTheme="minorHAnsi" w:cstheme="minorHAnsi"/>
                <w:sz w:val="18"/>
                <w:szCs w:val="18"/>
              </w:rPr>
              <w:t>Capacidad de los socios.</w:t>
            </w:r>
          </w:p>
          <w:p w14:paraId="2EDCC2DA" w14:textId="77777777" w:rsidR="00F11991" w:rsidRPr="00DE692F" w:rsidRDefault="00F11991" w:rsidP="00884799">
            <w:pPr>
              <w:ind w:left="336"/>
              <w:rPr>
                <w:rFonts w:asciiTheme="minorHAnsi" w:hAnsiTheme="minorHAnsi" w:cstheme="minorHAnsi"/>
                <w:sz w:val="18"/>
                <w:szCs w:val="18"/>
              </w:rPr>
            </w:pPr>
          </w:p>
          <w:p w14:paraId="662BF6A4" w14:textId="77777777" w:rsidR="00F11991" w:rsidRPr="00DE692F" w:rsidRDefault="00F11991" w:rsidP="00884799">
            <w:pPr>
              <w:rPr>
                <w:rFonts w:asciiTheme="minorHAnsi" w:hAnsiTheme="minorHAnsi" w:cstheme="minorHAnsi"/>
                <w:i/>
                <w:iCs/>
                <w:sz w:val="18"/>
                <w:szCs w:val="18"/>
              </w:rPr>
            </w:pPr>
          </w:p>
          <w:p w14:paraId="3FA1DC6D" w14:textId="77777777" w:rsidR="00F11991" w:rsidRPr="00DE692F" w:rsidRDefault="00F11991" w:rsidP="00884799">
            <w:pPr>
              <w:ind w:left="330"/>
              <w:rPr>
                <w:rFonts w:asciiTheme="minorHAnsi" w:hAnsiTheme="minorHAnsi" w:cstheme="minorHAnsi"/>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921C30"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Gobernabilidad</w:t>
            </w:r>
          </w:p>
          <w:p w14:paraId="63502810"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Capacidad de ejecución</w:t>
            </w:r>
            <w:r w:rsidRPr="00DE692F" w:rsidDel="00FF7DD7">
              <w:rPr>
                <w:rFonts w:asciiTheme="minorHAnsi" w:hAnsiTheme="minorHAnsi" w:cstheme="minorHAnsi"/>
                <w:sz w:val="18"/>
                <w:szCs w:val="18"/>
              </w:rPr>
              <w:t xml:space="preserve"> </w:t>
            </w:r>
          </w:p>
          <w:p w14:paraId="151DEAB9"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Preparativos de implementación</w:t>
            </w:r>
            <w:r w:rsidRPr="00DE692F" w:rsidDel="00FF7DD7">
              <w:rPr>
                <w:rFonts w:asciiTheme="minorHAnsi" w:hAnsiTheme="minorHAnsi" w:cstheme="minorHAnsi"/>
                <w:sz w:val="18"/>
                <w:szCs w:val="18"/>
              </w:rPr>
              <w:t xml:space="preserve"> </w:t>
            </w:r>
          </w:p>
          <w:p w14:paraId="37C266D1"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Responsabilidad</w:t>
            </w:r>
            <w:r w:rsidRPr="00DE692F" w:rsidDel="00FF7DD7">
              <w:rPr>
                <w:rFonts w:asciiTheme="minorHAnsi" w:hAnsiTheme="minorHAnsi" w:cstheme="minorHAnsi"/>
                <w:sz w:val="18"/>
                <w:szCs w:val="18"/>
              </w:rPr>
              <w:t xml:space="preserve"> </w:t>
            </w:r>
            <w:r w:rsidRPr="00DE692F">
              <w:rPr>
                <w:rFonts w:asciiTheme="minorHAnsi" w:hAnsiTheme="minorHAnsi" w:cstheme="minorHAnsi"/>
                <w:sz w:val="18"/>
                <w:szCs w:val="18"/>
              </w:rPr>
              <w:t xml:space="preserve"> </w:t>
            </w:r>
          </w:p>
          <w:p w14:paraId="37EF2ED3"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Seguimiento y vigilancia.</w:t>
            </w:r>
          </w:p>
          <w:p w14:paraId="6DE438C1"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Gestión del conocimiento.</w:t>
            </w:r>
            <w:r w:rsidRPr="00DE692F" w:rsidDel="00FF7DD7">
              <w:rPr>
                <w:rFonts w:asciiTheme="minorHAnsi" w:hAnsiTheme="minorHAnsi" w:cstheme="minorHAnsi"/>
                <w:sz w:val="18"/>
                <w:szCs w:val="18"/>
              </w:rPr>
              <w:t xml:space="preserve"> </w:t>
            </w:r>
          </w:p>
          <w:p w14:paraId="676237BA"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Recursos humanos</w:t>
            </w:r>
          </w:p>
          <w:p w14:paraId="3E00BEE6"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Control interno</w:t>
            </w:r>
          </w:p>
          <w:p w14:paraId="3DA85FB6" w14:textId="77777777" w:rsidR="00F11991" w:rsidRPr="00DE692F"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DE692F">
              <w:rPr>
                <w:rFonts w:asciiTheme="minorHAnsi" w:hAnsiTheme="minorHAnsi" w:cstheme="minorHAnsi"/>
                <w:sz w:val="18"/>
                <w:szCs w:val="18"/>
              </w:rPr>
              <w:t>Adquisiciones</w:t>
            </w:r>
          </w:p>
          <w:p w14:paraId="7F6CA101" w14:textId="77777777" w:rsidR="00F11991" w:rsidRPr="00DE692F" w:rsidRDefault="00F11991" w:rsidP="00884799">
            <w:pPr>
              <w:ind w:left="-71"/>
              <w:rPr>
                <w:rFonts w:asciiTheme="minorHAnsi" w:hAnsiTheme="minorHAnsi" w:cstheme="minorHAnsi"/>
                <w:sz w:val="18"/>
                <w:szCs w:val="18"/>
              </w:rPr>
            </w:pPr>
            <w:r w:rsidRPr="00DE692F">
              <w:rPr>
                <w:rFonts w:asciiTheme="minorHAnsi" w:hAnsiTheme="minorHAnsi" w:cstheme="minorHAnsi"/>
                <w:sz w:val="18"/>
                <w:szCs w:val="18"/>
              </w:rPr>
              <w:t xml:space="preserve"> </w:t>
            </w:r>
          </w:p>
          <w:p w14:paraId="0569A60B" w14:textId="77777777" w:rsidR="00F11991" w:rsidRPr="00DE692F" w:rsidRDefault="00F11991" w:rsidP="00884799">
            <w:pPr>
              <w:ind w:left="361"/>
              <w:rPr>
                <w:rFonts w:asciiTheme="minorHAnsi" w:hAnsiTheme="minorHAnsi" w:cstheme="minorHAnsi"/>
                <w:sz w:val="18"/>
                <w:szCs w:val="18"/>
              </w:rPr>
            </w:pPr>
          </w:p>
          <w:p w14:paraId="41139F15" w14:textId="77777777" w:rsidR="00F11991" w:rsidRPr="00DE692F" w:rsidRDefault="00F11991" w:rsidP="00884799">
            <w:pPr>
              <w:rPr>
                <w:rFonts w:asciiTheme="minorHAnsi" w:hAnsiTheme="minorHAnsi" w:cstheme="minorHAnsi"/>
                <w:i/>
                <w:iCs/>
                <w:sz w:val="18"/>
                <w:szCs w:val="18"/>
              </w:rPr>
            </w:pPr>
          </w:p>
          <w:p w14:paraId="28CAAD1D" w14:textId="77777777" w:rsidR="00F11991" w:rsidRPr="00DE692F" w:rsidRDefault="00F11991" w:rsidP="00884799">
            <w:pPr>
              <w:rPr>
                <w:rFonts w:asciiTheme="minorHAnsi" w:hAnsiTheme="minorHAnsi" w:cstheme="minorHAnsi"/>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600C21" w14:textId="77777777" w:rsidR="00F11991" w:rsidRPr="00DE692F"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DE692F">
              <w:rPr>
                <w:rFonts w:asciiTheme="minorHAnsi" w:hAnsiTheme="minorHAnsi" w:cstheme="minorHAnsi"/>
                <w:sz w:val="18"/>
                <w:szCs w:val="18"/>
              </w:rPr>
              <w:t xml:space="preserve">Opinión pública y medios de comunicación </w:t>
            </w:r>
          </w:p>
          <w:p w14:paraId="39BDF241" w14:textId="77777777" w:rsidR="00F11991" w:rsidRPr="00DE692F"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DE692F">
              <w:rPr>
                <w:rFonts w:asciiTheme="minorHAnsi" w:hAnsiTheme="minorHAnsi" w:cstheme="minorHAnsi"/>
                <w:sz w:val="18"/>
                <w:szCs w:val="18"/>
              </w:rPr>
              <w:t>Compromiso con la asociación del sector privado</w:t>
            </w:r>
          </w:p>
          <w:p w14:paraId="47037E28" w14:textId="77777777" w:rsidR="00F11991" w:rsidRPr="00DE692F"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DE692F">
              <w:rPr>
                <w:rFonts w:asciiTheme="minorHAnsi" w:hAnsiTheme="minorHAnsi" w:cstheme="minorHAnsi"/>
                <w:sz w:val="18"/>
                <w:szCs w:val="18"/>
              </w:rPr>
              <w:t>Código de conducta y ética</w:t>
            </w:r>
          </w:p>
          <w:p w14:paraId="6C0BAD81" w14:textId="77777777" w:rsidR="00F11991" w:rsidRPr="00DE692F"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DE692F">
              <w:rPr>
                <w:rFonts w:asciiTheme="minorHAnsi" w:hAnsiTheme="minorHAnsi" w:cstheme="minorHAnsi"/>
                <w:sz w:val="18"/>
                <w:szCs w:val="18"/>
              </w:rPr>
              <w:t>Comunicaciones</w:t>
            </w:r>
          </w:p>
          <w:p w14:paraId="170C1A10" w14:textId="77777777" w:rsidR="00F11991" w:rsidRPr="00DE692F"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DE692F">
              <w:rPr>
                <w:rFonts w:asciiTheme="minorHAnsi" w:hAnsiTheme="minorHAnsi" w:cstheme="minorHAnsi"/>
                <w:sz w:val="18"/>
                <w:szCs w:val="18"/>
              </w:rPr>
              <w:t>Gestión de las partes interesadas</w:t>
            </w:r>
          </w:p>
          <w:p w14:paraId="46509661" w14:textId="77777777" w:rsidR="00F11991" w:rsidRPr="00DE692F" w:rsidRDefault="00F11991" w:rsidP="00F11991">
            <w:pPr>
              <w:pStyle w:val="Prrafodelista"/>
              <w:numPr>
                <w:ilvl w:val="1"/>
                <w:numId w:val="16"/>
              </w:numPr>
              <w:spacing w:after="0" w:line="240" w:lineRule="auto"/>
              <w:ind w:left="412" w:right="315" w:hanging="426"/>
              <w:rPr>
                <w:rFonts w:asciiTheme="minorHAnsi" w:hAnsiTheme="minorHAnsi" w:cstheme="minorHAnsi"/>
                <w:sz w:val="18"/>
                <w:szCs w:val="18"/>
              </w:rPr>
            </w:pPr>
            <w:r w:rsidRPr="00DE692F">
              <w:rPr>
                <w:rFonts w:asciiTheme="minorHAnsi" w:hAnsiTheme="minorHAnsi" w:cstheme="minorHAnsi"/>
                <w:sz w:val="18"/>
                <w:szCs w:val="18"/>
              </w:rPr>
              <w:t>Exposición a entidades implicadas en el blanqueo de capitales y la financiación del terrorismo</w:t>
            </w:r>
          </w:p>
          <w:p w14:paraId="1CA5D46B" w14:textId="77777777" w:rsidR="00F11991" w:rsidRPr="00DE692F" w:rsidRDefault="00F11991" w:rsidP="00884799">
            <w:pPr>
              <w:rPr>
                <w:rFonts w:asciiTheme="minorHAnsi" w:hAnsiTheme="minorHAnsi" w:cstheme="minorHAnsi"/>
                <w:i/>
                <w:iCs/>
                <w:sz w:val="18"/>
                <w:szCs w:val="18"/>
              </w:rPr>
            </w:pPr>
          </w:p>
          <w:p w14:paraId="20D2C3CC" w14:textId="77777777" w:rsidR="00F11991" w:rsidRPr="00DE692F" w:rsidRDefault="00F11991" w:rsidP="00884799">
            <w:pPr>
              <w:rPr>
                <w:rFonts w:asciiTheme="minorHAnsi" w:hAnsiTheme="minorHAnsi" w:cstheme="minorHAnsi"/>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AE220E" w14:textId="77777777" w:rsidR="00F11991" w:rsidRPr="00DE692F"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DE692F">
              <w:rPr>
                <w:rFonts w:asciiTheme="minorHAnsi" w:hAnsiTheme="minorHAnsi" w:cstheme="minorHAnsi"/>
                <w:sz w:val="18"/>
                <w:szCs w:val="18"/>
              </w:rPr>
              <w:t>Cambios en el marco regulatorio dentro del país de operación</w:t>
            </w:r>
          </w:p>
          <w:p w14:paraId="435D4EB9" w14:textId="77777777" w:rsidR="00F11991" w:rsidRPr="00DE692F"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DE692F">
              <w:rPr>
                <w:rFonts w:asciiTheme="minorHAnsi" w:hAnsiTheme="minorHAnsi" w:cstheme="minorHAnsi"/>
                <w:sz w:val="18"/>
                <w:szCs w:val="18"/>
              </w:rPr>
              <w:t>Cambios en el marco regulatorio internacional que afectan a toda la organización</w:t>
            </w:r>
          </w:p>
          <w:p w14:paraId="6DA1EEAA" w14:textId="77777777" w:rsidR="00F11991" w:rsidRPr="00DE692F"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DE692F">
              <w:rPr>
                <w:rFonts w:asciiTheme="minorHAnsi" w:hAnsiTheme="minorHAnsi" w:cstheme="minorHAnsi"/>
                <w:sz w:val="18"/>
                <w:szCs w:val="18"/>
              </w:rPr>
              <w:t>Desviación de las reglas y reglamentaciones internas del PNUD</w:t>
            </w:r>
          </w:p>
          <w:p w14:paraId="784DD954" w14:textId="77777777" w:rsidR="00F11991" w:rsidRPr="00DE692F" w:rsidRDefault="00F11991" w:rsidP="00884799">
            <w:pPr>
              <w:rPr>
                <w:rFonts w:asciiTheme="minorHAnsi" w:hAnsiTheme="minorHAnsi" w:cstheme="minorHAnsi"/>
                <w:i/>
                <w:sz w:val="18"/>
                <w:szCs w:val="18"/>
              </w:rPr>
            </w:pPr>
          </w:p>
          <w:p w14:paraId="5D97692B" w14:textId="77777777" w:rsidR="00F11991" w:rsidRPr="00DE692F" w:rsidRDefault="00F11991" w:rsidP="00884799">
            <w:pPr>
              <w:rPr>
                <w:rFonts w:asciiTheme="minorHAnsi" w:hAnsiTheme="minorHAnsi" w:cstheme="minorHAnsi"/>
                <w:i/>
                <w:iCs/>
                <w:sz w:val="18"/>
                <w:szCs w:val="18"/>
              </w:rPr>
            </w:pPr>
          </w:p>
          <w:p w14:paraId="14AA87FE" w14:textId="77777777" w:rsidR="00F11991" w:rsidRPr="00DE692F" w:rsidRDefault="00F11991" w:rsidP="00884799">
            <w:pPr>
              <w:ind w:left="331"/>
              <w:rPr>
                <w:rFonts w:asciiTheme="minorHAnsi" w:hAnsiTheme="minorHAnsi" w:cstheme="minorHAnsi"/>
                <w:sz w:val="18"/>
                <w:szCs w:val="18"/>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FC7EE"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7.1. Alineación con las prioridades estratégicas del PNUD</w:t>
            </w:r>
          </w:p>
          <w:p w14:paraId="5D15D930"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7.2. Coordinación y reforma del sistema de las Naciones Unidas</w:t>
            </w:r>
          </w:p>
          <w:p w14:paraId="2A39FDA6"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7.3. Relaciones con las partes interesadas y asociaciones</w:t>
            </w:r>
          </w:p>
          <w:p w14:paraId="0DC4A2C6"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 xml:space="preserve">7.4. Competencia </w:t>
            </w:r>
          </w:p>
          <w:p w14:paraId="4BA534C2"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7.5. Compromiso del gobierno</w:t>
            </w:r>
          </w:p>
          <w:p w14:paraId="1BE5E479"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7.6. Cambio/rotación en el gobierno</w:t>
            </w:r>
          </w:p>
          <w:p w14:paraId="5D7AC24F"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7.7. Alineación con las prioridades nacionales</w:t>
            </w:r>
          </w:p>
          <w:p w14:paraId="497D2E0F" w14:textId="77777777" w:rsidR="00F11991" w:rsidRPr="00DE692F" w:rsidRDefault="00F11991" w:rsidP="00884799">
            <w:pPr>
              <w:rPr>
                <w:rFonts w:asciiTheme="minorHAnsi" w:eastAsiaTheme="minorEastAsia" w:hAnsiTheme="minorHAnsi" w:cstheme="minorHAnsi"/>
                <w:sz w:val="18"/>
                <w:szCs w:val="18"/>
              </w:rPr>
            </w:pPr>
            <w:r w:rsidRPr="00DE692F">
              <w:rPr>
                <w:rFonts w:asciiTheme="minorHAnsi" w:eastAsiaTheme="minorEastAsia" w:hAnsiTheme="minorHAnsi" w:cstheme="minorHAnsi"/>
                <w:sz w:val="18"/>
                <w:szCs w:val="18"/>
              </w:rPr>
              <w:t>7.8. Innovar, pilotar, experimentar,</w:t>
            </w:r>
          </w:p>
          <w:p w14:paraId="625CDBB9" w14:textId="77777777" w:rsidR="00F11991" w:rsidRPr="00DE692F" w:rsidRDefault="00F11991" w:rsidP="00884799">
            <w:pPr>
              <w:rPr>
                <w:rFonts w:asciiTheme="minorHAnsi" w:hAnsiTheme="minorHAnsi" w:cstheme="minorHAnsi"/>
                <w:i/>
                <w:iCs/>
                <w:sz w:val="18"/>
                <w:szCs w:val="18"/>
              </w:rPr>
            </w:pPr>
          </w:p>
          <w:p w14:paraId="1F664617" w14:textId="77777777" w:rsidR="00F11991" w:rsidRPr="00DE692F" w:rsidRDefault="00F11991" w:rsidP="00884799">
            <w:pPr>
              <w:rPr>
                <w:rFonts w:asciiTheme="minorHAnsi" w:eastAsiaTheme="minorEastAsia" w:hAnsiTheme="minorHAnsi" w:cstheme="minorHAnsi"/>
                <w:sz w:val="18"/>
                <w:szCs w:val="18"/>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B99D4" w14:textId="19B1BB51" w:rsidR="00F11991" w:rsidRPr="00DE692F" w:rsidRDefault="00F11991" w:rsidP="00884799">
            <w:pPr>
              <w:ind w:hanging="360"/>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8.1 Conflicto armado</w:t>
            </w:r>
          </w:p>
          <w:p w14:paraId="396919B5" w14:textId="11109D7D"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8.2 Inestabilidad política </w:t>
            </w:r>
          </w:p>
          <w:p w14:paraId="100BF75E" w14:textId="06497AA3"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8.3 Terrorismo</w:t>
            </w:r>
          </w:p>
          <w:p w14:paraId="361D96FC" w14:textId="70171CF7"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8.4 Crimen</w:t>
            </w:r>
          </w:p>
          <w:p w14:paraId="2836001D" w14:textId="391FF7E9"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8.5 Disturbios civiles</w:t>
            </w:r>
          </w:p>
          <w:p w14:paraId="3AAF25B6" w14:textId="32819ECD"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8.6 Peligros naturales</w:t>
            </w:r>
          </w:p>
          <w:p w14:paraId="6C469467" w14:textId="214AA908" w:rsidR="00F11991" w:rsidRPr="00DE692F" w:rsidRDefault="00F11991" w:rsidP="00BC3B1C">
            <w:pPr>
              <w:rPr>
                <w:rFonts w:asciiTheme="minorHAnsi" w:hAnsiTheme="minorHAnsi" w:cstheme="minorHAnsi"/>
                <w:color w:val="000000" w:themeColor="text1"/>
                <w:sz w:val="18"/>
                <w:szCs w:val="18"/>
              </w:rPr>
            </w:pPr>
            <w:r w:rsidRPr="00DE692F">
              <w:rPr>
                <w:rFonts w:asciiTheme="minorHAnsi" w:hAnsiTheme="minorHAnsi" w:cstheme="minorHAnsi"/>
                <w:color w:val="000000" w:themeColor="text1"/>
                <w:sz w:val="18"/>
                <w:szCs w:val="18"/>
              </w:rPr>
              <w:t xml:space="preserve"> 8.7 Peligros de origen humano </w:t>
            </w:r>
          </w:p>
          <w:p w14:paraId="6AB812B9" w14:textId="5D784504" w:rsidR="00F11991" w:rsidRPr="00DE692F" w:rsidRDefault="00F11991" w:rsidP="00BC3B1C">
            <w:pPr>
              <w:rPr>
                <w:rFonts w:asciiTheme="minorHAnsi" w:eastAsiaTheme="minorEastAsia" w:hAnsiTheme="minorHAnsi" w:cstheme="minorHAnsi"/>
                <w:i/>
                <w:color w:val="000000" w:themeColor="text1"/>
                <w:sz w:val="18"/>
                <w:szCs w:val="18"/>
              </w:rPr>
            </w:pPr>
            <w:r w:rsidRPr="00DE692F">
              <w:rPr>
                <w:rFonts w:asciiTheme="minorHAnsi" w:hAnsiTheme="minorHAnsi" w:cstheme="minorHAnsi"/>
                <w:color w:val="000000" w:themeColor="text1"/>
                <w:sz w:val="18"/>
                <w:szCs w:val="18"/>
              </w:rPr>
              <w:t xml:space="preserve"> 8.8 Ciberseguridad y amenazas</w:t>
            </w:r>
          </w:p>
          <w:p w14:paraId="32B34535" w14:textId="77777777" w:rsidR="00F11991" w:rsidRPr="00DE692F" w:rsidRDefault="00F11991" w:rsidP="00884799">
            <w:pPr>
              <w:ind w:hanging="360"/>
              <w:rPr>
                <w:rFonts w:asciiTheme="minorHAnsi" w:eastAsiaTheme="minorEastAsia" w:hAnsiTheme="minorHAnsi" w:cstheme="minorHAnsi"/>
                <w:color w:val="000000" w:themeColor="text1"/>
                <w:sz w:val="18"/>
                <w:szCs w:val="18"/>
              </w:rPr>
            </w:pPr>
          </w:p>
        </w:tc>
      </w:tr>
    </w:tbl>
    <w:p w14:paraId="67A8ED58" w14:textId="77777777" w:rsidR="008A11D0" w:rsidRPr="00DE692F" w:rsidRDefault="008A11D0" w:rsidP="00756335">
      <w:pPr>
        <w:keepNext/>
        <w:jc w:val="left"/>
        <w:rPr>
          <w:b/>
          <w:szCs w:val="22"/>
        </w:rPr>
      </w:pPr>
    </w:p>
    <w:p w14:paraId="022BF2DF" w14:textId="77777777" w:rsidR="005E07F5" w:rsidRPr="00DE692F" w:rsidRDefault="005E07F5" w:rsidP="00756335">
      <w:pPr>
        <w:keepNext/>
        <w:jc w:val="left"/>
        <w:rPr>
          <w:b/>
          <w:szCs w:val="22"/>
        </w:rPr>
      </w:pPr>
    </w:p>
    <w:p w14:paraId="057CEC3D" w14:textId="77777777" w:rsidR="005E07F5" w:rsidRPr="00DE692F" w:rsidRDefault="005E07F5" w:rsidP="00756335">
      <w:pPr>
        <w:keepNext/>
        <w:jc w:val="left"/>
        <w:rPr>
          <w:b/>
          <w:szCs w:val="22"/>
        </w:rPr>
      </w:pPr>
    </w:p>
    <w:p w14:paraId="3F6FA86D" w14:textId="77777777" w:rsidR="001B19B3" w:rsidRPr="00DE692F" w:rsidRDefault="001B19B3" w:rsidP="001B19B3">
      <w:pPr>
        <w:pStyle w:val="Prrafodelista"/>
        <w:tabs>
          <w:tab w:val="left" w:pos="4680"/>
        </w:tabs>
        <w:rPr>
          <w:rFonts w:asciiTheme="minorHAnsi" w:hAnsiTheme="minorHAnsi" w:cstheme="minorHAnsi"/>
          <w:b/>
          <w:bCs/>
          <w:sz w:val="20"/>
          <w:szCs w:val="20"/>
        </w:rPr>
      </w:pPr>
    </w:p>
    <w:p w14:paraId="27C32D61" w14:textId="77777777" w:rsidR="00432623" w:rsidRPr="00DE692F" w:rsidRDefault="00432623" w:rsidP="001B19B3">
      <w:pPr>
        <w:pStyle w:val="Prrafodelista"/>
        <w:tabs>
          <w:tab w:val="left" w:pos="4680"/>
        </w:tabs>
        <w:rPr>
          <w:rFonts w:asciiTheme="minorHAnsi" w:hAnsiTheme="minorHAnsi" w:cstheme="minorHAnsi"/>
          <w:b/>
          <w:bCs/>
          <w:sz w:val="20"/>
          <w:szCs w:val="20"/>
        </w:rPr>
      </w:pPr>
    </w:p>
    <w:p w14:paraId="5CE0B254" w14:textId="013558ED" w:rsidR="001B19B3" w:rsidRPr="00DE692F" w:rsidRDefault="006C5DBE" w:rsidP="00763AEF">
      <w:pPr>
        <w:pStyle w:val="Prrafodelista"/>
        <w:tabs>
          <w:tab w:val="left" w:pos="4680"/>
        </w:tabs>
        <w:jc w:val="center"/>
        <w:rPr>
          <w:rFonts w:ascii="Arial" w:eastAsia="Times New Roman" w:hAnsi="Arial"/>
          <w:b/>
        </w:rPr>
      </w:pPr>
      <w:r w:rsidRPr="00DE692F">
        <w:rPr>
          <w:rFonts w:ascii="Arial" w:eastAsia="Times New Roman" w:hAnsi="Arial"/>
          <w:b/>
        </w:rPr>
        <w:t xml:space="preserve">Anexo 2. </w:t>
      </w:r>
      <w:r w:rsidR="009D3EB1" w:rsidRPr="00DE692F">
        <w:rPr>
          <w:rFonts w:ascii="Arial" w:eastAsia="Times New Roman" w:hAnsi="Arial"/>
          <w:b/>
        </w:rPr>
        <w:t>Matriz de Nivel de Riesgo</w:t>
      </w:r>
    </w:p>
    <w:tbl>
      <w:tblPr>
        <w:tblStyle w:val="Tablaconcuadrcula"/>
        <w:tblW w:w="0" w:type="auto"/>
        <w:jc w:val="center"/>
        <w:tblLook w:val="04A0" w:firstRow="1" w:lastRow="0" w:firstColumn="1" w:lastColumn="0" w:noHBand="0" w:noVBand="1"/>
      </w:tblPr>
      <w:tblGrid>
        <w:gridCol w:w="907"/>
        <w:gridCol w:w="648"/>
        <w:gridCol w:w="979"/>
        <w:gridCol w:w="979"/>
        <w:gridCol w:w="979"/>
        <w:gridCol w:w="979"/>
        <w:gridCol w:w="979"/>
        <w:gridCol w:w="1365"/>
        <w:gridCol w:w="790"/>
        <w:gridCol w:w="1376"/>
        <w:gridCol w:w="25"/>
      </w:tblGrid>
      <w:tr w:rsidR="005A5662" w:rsidRPr="00DE692F" w14:paraId="2F327040" w14:textId="77777777" w:rsidTr="00BC7780">
        <w:trPr>
          <w:gridAfter w:val="1"/>
          <w:wAfter w:w="25" w:type="dxa"/>
          <w:cantSplit/>
          <w:trHeight w:val="611"/>
          <w:jc w:val="center"/>
        </w:trPr>
        <w:tc>
          <w:tcPr>
            <w:tcW w:w="907" w:type="dxa"/>
            <w:vMerge w:val="restart"/>
            <w:tcBorders>
              <w:top w:val="nil"/>
              <w:left w:val="nil"/>
              <w:bottom w:val="nil"/>
              <w:right w:val="single" w:sz="4" w:space="0" w:color="auto"/>
            </w:tcBorders>
            <w:textDirection w:val="btLr"/>
            <w:vAlign w:val="bottom"/>
          </w:tcPr>
          <w:p w14:paraId="45D2BBFC" w14:textId="1DC88CDB" w:rsidR="005A5662" w:rsidRPr="00DE692F" w:rsidRDefault="005A5662" w:rsidP="00BC7780">
            <w:pPr>
              <w:ind w:left="113" w:right="113"/>
              <w:jc w:val="center"/>
              <w:rPr>
                <w:b/>
                <w:bCs/>
              </w:rPr>
            </w:pPr>
            <w:r w:rsidRPr="00DE692F">
              <w:rPr>
                <w:b/>
                <w:bCs/>
                <w:sz w:val="28"/>
                <w:szCs w:val="28"/>
              </w:rPr>
              <w:t>Impacto</w:t>
            </w:r>
          </w:p>
        </w:tc>
        <w:tc>
          <w:tcPr>
            <w:tcW w:w="648" w:type="dxa"/>
            <w:tcBorders>
              <w:top w:val="single" w:sz="4" w:space="0" w:color="auto"/>
              <w:left w:val="single" w:sz="4" w:space="0" w:color="auto"/>
              <w:bottom w:val="single" w:sz="4" w:space="0" w:color="auto"/>
            </w:tcBorders>
            <w:vAlign w:val="bottom"/>
          </w:tcPr>
          <w:p w14:paraId="40829C1F" w14:textId="77777777" w:rsidR="005A5662" w:rsidRPr="00DE692F" w:rsidRDefault="005A5662" w:rsidP="00BC7780">
            <w:pPr>
              <w:spacing w:before="320" w:after="320"/>
              <w:jc w:val="center"/>
              <w:rPr>
                <w:b/>
                <w:bCs/>
              </w:rPr>
            </w:pPr>
            <w:r w:rsidRPr="00DE692F">
              <w:rPr>
                <w:b/>
                <w:bCs/>
              </w:rPr>
              <w:t>5</w:t>
            </w:r>
          </w:p>
        </w:tc>
        <w:tc>
          <w:tcPr>
            <w:tcW w:w="979" w:type="dxa"/>
            <w:shd w:val="clear" w:color="auto" w:fill="8EAADB" w:themeFill="accent1" w:themeFillTint="99"/>
            <w:vAlign w:val="center"/>
          </w:tcPr>
          <w:p w14:paraId="6DAC287A" w14:textId="77777777" w:rsidR="005A5662" w:rsidRPr="00DE692F" w:rsidRDefault="005A5662" w:rsidP="00BC7780">
            <w:pPr>
              <w:spacing w:before="320" w:after="320"/>
              <w:ind w:left="-218" w:right="-191"/>
              <w:jc w:val="center"/>
              <w:rPr>
                <w:b/>
                <w:bCs/>
                <w:sz w:val="16"/>
                <w:szCs w:val="16"/>
              </w:rPr>
            </w:pPr>
          </w:p>
        </w:tc>
        <w:tc>
          <w:tcPr>
            <w:tcW w:w="979" w:type="dxa"/>
            <w:shd w:val="clear" w:color="auto" w:fill="2F5496" w:themeFill="accent1" w:themeFillShade="BF"/>
            <w:vAlign w:val="center"/>
          </w:tcPr>
          <w:p w14:paraId="0099BAA6" w14:textId="77777777" w:rsidR="005A5662" w:rsidRPr="00DE692F" w:rsidRDefault="005A5662" w:rsidP="00BC7780">
            <w:pPr>
              <w:spacing w:before="320" w:after="320"/>
              <w:ind w:left="-218" w:right="-160"/>
              <w:jc w:val="center"/>
              <w:rPr>
                <w:sz w:val="16"/>
                <w:szCs w:val="16"/>
              </w:rPr>
            </w:pPr>
          </w:p>
        </w:tc>
        <w:tc>
          <w:tcPr>
            <w:tcW w:w="979" w:type="dxa"/>
            <w:shd w:val="clear" w:color="auto" w:fill="2F5496" w:themeFill="accent1" w:themeFillShade="BF"/>
            <w:vAlign w:val="center"/>
          </w:tcPr>
          <w:p w14:paraId="249A1C31" w14:textId="77777777" w:rsidR="005A5662" w:rsidRPr="00DE692F" w:rsidRDefault="005A5662" w:rsidP="00BC7780">
            <w:pPr>
              <w:spacing w:before="320" w:after="320"/>
              <w:ind w:left="-218" w:right="-160"/>
              <w:jc w:val="center"/>
              <w:rPr>
                <w:b/>
                <w:bCs/>
                <w:sz w:val="16"/>
                <w:szCs w:val="16"/>
              </w:rPr>
            </w:pPr>
          </w:p>
        </w:tc>
        <w:tc>
          <w:tcPr>
            <w:tcW w:w="979" w:type="dxa"/>
            <w:shd w:val="clear" w:color="auto" w:fill="1F3864" w:themeFill="accent1" w:themeFillShade="80"/>
            <w:vAlign w:val="center"/>
          </w:tcPr>
          <w:p w14:paraId="47384BE2" w14:textId="77777777" w:rsidR="005A5662" w:rsidRPr="00DE692F" w:rsidRDefault="005A5662" w:rsidP="00BC7780">
            <w:pPr>
              <w:spacing w:before="320" w:after="320"/>
              <w:ind w:left="-218" w:right="-160"/>
              <w:jc w:val="center"/>
              <w:rPr>
                <w:b/>
                <w:bCs/>
                <w:color w:val="FFFFFF" w:themeColor="background1"/>
                <w:sz w:val="16"/>
                <w:szCs w:val="16"/>
              </w:rPr>
            </w:pPr>
          </w:p>
        </w:tc>
        <w:tc>
          <w:tcPr>
            <w:tcW w:w="979" w:type="dxa"/>
            <w:shd w:val="clear" w:color="auto" w:fill="1F3864" w:themeFill="accent1" w:themeFillShade="80"/>
            <w:vAlign w:val="center"/>
          </w:tcPr>
          <w:p w14:paraId="55C3F867" w14:textId="77777777" w:rsidR="005A5662" w:rsidRPr="00DE692F" w:rsidRDefault="005A5662" w:rsidP="00BC7780">
            <w:pPr>
              <w:spacing w:before="320" w:after="320"/>
              <w:ind w:left="-218" w:right="-160"/>
              <w:jc w:val="center"/>
              <w:rPr>
                <w:b/>
                <w:bCs/>
                <w:color w:val="FFFFFF" w:themeColor="background1"/>
                <w:sz w:val="16"/>
                <w:szCs w:val="16"/>
              </w:rPr>
            </w:pPr>
          </w:p>
        </w:tc>
        <w:tc>
          <w:tcPr>
            <w:tcW w:w="1365" w:type="dxa"/>
            <w:tcBorders>
              <w:top w:val="nil"/>
              <w:bottom w:val="nil"/>
              <w:right w:val="nil"/>
            </w:tcBorders>
          </w:tcPr>
          <w:p w14:paraId="5A1D5ABD" w14:textId="77777777" w:rsidR="005A5662" w:rsidRPr="00DE692F" w:rsidRDefault="005A5662" w:rsidP="00BC7780">
            <w:pPr>
              <w:spacing w:before="320" w:after="320"/>
              <w:jc w:val="center"/>
              <w:rPr>
                <w:b/>
                <w:bCs/>
                <w:color w:val="FFFFFF" w:themeColor="background1"/>
                <w:sz w:val="18"/>
                <w:szCs w:val="18"/>
              </w:rPr>
            </w:pPr>
          </w:p>
        </w:tc>
        <w:tc>
          <w:tcPr>
            <w:tcW w:w="671" w:type="dxa"/>
            <w:tcBorders>
              <w:top w:val="nil"/>
              <w:left w:val="nil"/>
              <w:bottom w:val="single" w:sz="4" w:space="0" w:color="auto"/>
              <w:right w:val="nil"/>
            </w:tcBorders>
            <w:vAlign w:val="center"/>
          </w:tcPr>
          <w:p w14:paraId="332EDDE7" w14:textId="4F75A551" w:rsidR="005A5662" w:rsidRPr="00DE692F" w:rsidRDefault="005A5662" w:rsidP="00BC7780">
            <w:pPr>
              <w:spacing w:before="320" w:after="320"/>
              <w:ind w:right="-43"/>
              <w:jc w:val="right"/>
              <w:rPr>
                <w:b/>
                <w:bCs/>
                <w:sz w:val="24"/>
              </w:rPr>
            </w:pPr>
            <w:r w:rsidRPr="00DE692F">
              <w:rPr>
                <w:b/>
                <w:bCs/>
                <w:sz w:val="24"/>
              </w:rPr>
              <w:t xml:space="preserve">Nivel </w:t>
            </w:r>
          </w:p>
        </w:tc>
        <w:tc>
          <w:tcPr>
            <w:tcW w:w="1365" w:type="dxa"/>
            <w:tcBorders>
              <w:top w:val="nil"/>
              <w:left w:val="nil"/>
              <w:bottom w:val="nil"/>
              <w:right w:val="nil"/>
            </w:tcBorders>
          </w:tcPr>
          <w:p w14:paraId="2803A735" w14:textId="2129A648" w:rsidR="005A5662" w:rsidRPr="00DE692F" w:rsidRDefault="005A5662" w:rsidP="00BC7780">
            <w:pPr>
              <w:spacing w:before="320" w:after="320"/>
              <w:jc w:val="left"/>
              <w:rPr>
                <w:b/>
                <w:bCs/>
                <w:sz w:val="24"/>
              </w:rPr>
            </w:pPr>
            <w:r w:rsidRPr="00DE692F">
              <w:rPr>
                <w:b/>
                <w:bCs/>
                <w:sz w:val="24"/>
              </w:rPr>
              <w:t>de riesgo</w:t>
            </w:r>
          </w:p>
        </w:tc>
      </w:tr>
      <w:tr w:rsidR="005A5662" w:rsidRPr="00DE692F" w14:paraId="7126E8B9" w14:textId="77777777" w:rsidTr="00BC7780">
        <w:trPr>
          <w:gridAfter w:val="1"/>
          <w:wAfter w:w="25" w:type="dxa"/>
          <w:cantSplit/>
          <w:trHeight w:val="575"/>
          <w:jc w:val="center"/>
        </w:trPr>
        <w:tc>
          <w:tcPr>
            <w:tcW w:w="907" w:type="dxa"/>
            <w:vMerge/>
            <w:tcBorders>
              <w:top w:val="nil"/>
              <w:left w:val="nil"/>
              <w:bottom w:val="nil"/>
              <w:right w:val="single" w:sz="4" w:space="0" w:color="auto"/>
            </w:tcBorders>
          </w:tcPr>
          <w:p w14:paraId="3D09127A" w14:textId="77777777" w:rsidR="005A5662" w:rsidRPr="00DE692F" w:rsidRDefault="005A5662" w:rsidP="00BC7780">
            <w:pPr>
              <w:jc w:val="center"/>
              <w:rPr>
                <w:b/>
                <w:bCs/>
              </w:rPr>
            </w:pPr>
          </w:p>
        </w:tc>
        <w:tc>
          <w:tcPr>
            <w:tcW w:w="648" w:type="dxa"/>
            <w:tcBorders>
              <w:top w:val="single" w:sz="4" w:space="0" w:color="auto"/>
              <w:left w:val="single" w:sz="4" w:space="0" w:color="auto"/>
            </w:tcBorders>
            <w:vAlign w:val="center"/>
          </w:tcPr>
          <w:p w14:paraId="2016BA40" w14:textId="77777777" w:rsidR="005A5662" w:rsidRPr="00DE692F" w:rsidRDefault="005A5662" w:rsidP="00BC7780">
            <w:pPr>
              <w:spacing w:before="320" w:after="320"/>
              <w:jc w:val="center"/>
              <w:rPr>
                <w:b/>
                <w:bCs/>
              </w:rPr>
            </w:pPr>
            <w:r w:rsidRPr="00DE692F">
              <w:rPr>
                <w:b/>
                <w:bCs/>
              </w:rPr>
              <w:t>4</w:t>
            </w:r>
          </w:p>
        </w:tc>
        <w:tc>
          <w:tcPr>
            <w:tcW w:w="979" w:type="dxa"/>
            <w:shd w:val="clear" w:color="auto" w:fill="B4C6E7" w:themeFill="accent1" w:themeFillTint="66"/>
            <w:vAlign w:val="center"/>
          </w:tcPr>
          <w:p w14:paraId="22F3DA41" w14:textId="77777777" w:rsidR="005A5662" w:rsidRPr="00DE692F" w:rsidRDefault="005A5662" w:rsidP="00BC7780">
            <w:pPr>
              <w:spacing w:before="320" w:after="320"/>
              <w:ind w:left="-218" w:right="-160"/>
              <w:jc w:val="center"/>
              <w:rPr>
                <w:b/>
                <w:bCs/>
                <w:sz w:val="16"/>
                <w:szCs w:val="16"/>
              </w:rPr>
            </w:pPr>
          </w:p>
        </w:tc>
        <w:tc>
          <w:tcPr>
            <w:tcW w:w="979" w:type="dxa"/>
            <w:shd w:val="clear" w:color="auto" w:fill="8EAADB" w:themeFill="accent1" w:themeFillTint="99"/>
            <w:vAlign w:val="center"/>
          </w:tcPr>
          <w:p w14:paraId="0008C184" w14:textId="77777777" w:rsidR="005A5662" w:rsidRPr="00DE692F" w:rsidRDefault="005A5662" w:rsidP="00BC7780">
            <w:pPr>
              <w:spacing w:before="320" w:after="320"/>
              <w:ind w:left="-218" w:right="-191"/>
              <w:jc w:val="center"/>
              <w:rPr>
                <w:sz w:val="16"/>
                <w:szCs w:val="16"/>
              </w:rPr>
            </w:pPr>
          </w:p>
        </w:tc>
        <w:tc>
          <w:tcPr>
            <w:tcW w:w="979" w:type="dxa"/>
            <w:shd w:val="clear" w:color="auto" w:fill="2F5496" w:themeFill="accent1" w:themeFillShade="BF"/>
            <w:vAlign w:val="center"/>
          </w:tcPr>
          <w:p w14:paraId="6AF48685" w14:textId="77777777" w:rsidR="005A5662" w:rsidRPr="00DE692F" w:rsidRDefault="005A5662" w:rsidP="00BC7780">
            <w:pPr>
              <w:spacing w:before="320" w:after="320"/>
              <w:ind w:left="-218" w:right="-160"/>
              <w:jc w:val="center"/>
              <w:rPr>
                <w:b/>
                <w:bCs/>
                <w:color w:val="FFFFFF" w:themeColor="background1"/>
                <w:sz w:val="16"/>
                <w:szCs w:val="16"/>
              </w:rPr>
            </w:pPr>
          </w:p>
        </w:tc>
        <w:tc>
          <w:tcPr>
            <w:tcW w:w="979" w:type="dxa"/>
            <w:shd w:val="clear" w:color="auto" w:fill="2F5496" w:themeFill="accent1" w:themeFillShade="BF"/>
            <w:vAlign w:val="center"/>
          </w:tcPr>
          <w:p w14:paraId="41D9848B" w14:textId="77777777" w:rsidR="005A5662" w:rsidRPr="00DE692F" w:rsidRDefault="005A5662" w:rsidP="00BC7780">
            <w:pPr>
              <w:spacing w:before="320" w:after="320"/>
              <w:ind w:left="-218" w:right="-160"/>
              <w:jc w:val="center"/>
              <w:rPr>
                <w:color w:val="FFFFFF" w:themeColor="background1"/>
                <w:sz w:val="16"/>
                <w:szCs w:val="16"/>
              </w:rPr>
            </w:pPr>
          </w:p>
        </w:tc>
        <w:tc>
          <w:tcPr>
            <w:tcW w:w="979" w:type="dxa"/>
            <w:shd w:val="clear" w:color="auto" w:fill="1F3864" w:themeFill="accent1" w:themeFillShade="80"/>
            <w:vAlign w:val="center"/>
          </w:tcPr>
          <w:p w14:paraId="50BEA315" w14:textId="77777777" w:rsidR="005A5662" w:rsidRPr="00DE692F" w:rsidRDefault="005A5662" w:rsidP="00BC7780">
            <w:pPr>
              <w:spacing w:before="320" w:after="320"/>
              <w:ind w:left="-218" w:right="-160"/>
              <w:jc w:val="center"/>
              <w:rPr>
                <w:color w:val="FFFFFF" w:themeColor="background1"/>
                <w:sz w:val="16"/>
                <w:szCs w:val="16"/>
              </w:rPr>
            </w:pPr>
          </w:p>
        </w:tc>
        <w:tc>
          <w:tcPr>
            <w:tcW w:w="1365" w:type="dxa"/>
            <w:tcBorders>
              <w:top w:val="nil"/>
              <w:bottom w:val="nil"/>
            </w:tcBorders>
          </w:tcPr>
          <w:p w14:paraId="3C834D9F" w14:textId="77777777" w:rsidR="005A5662" w:rsidRPr="00DE692F" w:rsidRDefault="005A5662" w:rsidP="00BC7780">
            <w:pPr>
              <w:spacing w:before="320" w:after="320"/>
              <w:jc w:val="center"/>
              <w:rPr>
                <w:b/>
                <w:bCs/>
                <w:color w:val="FFFFFF" w:themeColor="background1"/>
                <w:sz w:val="18"/>
                <w:szCs w:val="18"/>
              </w:rPr>
            </w:pPr>
          </w:p>
        </w:tc>
        <w:tc>
          <w:tcPr>
            <w:tcW w:w="671" w:type="dxa"/>
            <w:tcBorders>
              <w:right w:val="single" w:sz="4" w:space="0" w:color="auto"/>
            </w:tcBorders>
            <w:shd w:val="clear" w:color="auto" w:fill="1F3864" w:themeFill="accent1" w:themeFillShade="80"/>
            <w:vAlign w:val="center"/>
          </w:tcPr>
          <w:p w14:paraId="1445A34F" w14:textId="77777777" w:rsidR="005A5662" w:rsidRPr="00DE692F" w:rsidRDefault="005A5662" w:rsidP="00BC7780">
            <w:pPr>
              <w:spacing w:before="320" w:after="320"/>
              <w:jc w:val="center"/>
              <w:rPr>
                <w:b/>
                <w:bCs/>
                <w:color w:val="FFFFFF" w:themeColor="background1"/>
                <w:sz w:val="18"/>
                <w:szCs w:val="18"/>
              </w:rPr>
            </w:pPr>
          </w:p>
        </w:tc>
        <w:tc>
          <w:tcPr>
            <w:tcW w:w="1365" w:type="dxa"/>
            <w:tcBorders>
              <w:top w:val="nil"/>
              <w:left w:val="single" w:sz="4" w:space="0" w:color="auto"/>
              <w:bottom w:val="nil"/>
              <w:right w:val="nil"/>
            </w:tcBorders>
          </w:tcPr>
          <w:p w14:paraId="4E96B94F" w14:textId="201D7073" w:rsidR="005A5662" w:rsidRPr="00DE692F" w:rsidRDefault="005A5662" w:rsidP="00BC7780">
            <w:pPr>
              <w:spacing w:before="320" w:after="320"/>
              <w:jc w:val="left"/>
              <w:rPr>
                <w:b/>
                <w:bCs/>
                <w:sz w:val="18"/>
                <w:szCs w:val="18"/>
              </w:rPr>
            </w:pPr>
            <w:r w:rsidRPr="00DE692F">
              <w:rPr>
                <w:b/>
                <w:bCs/>
                <w:sz w:val="18"/>
                <w:szCs w:val="18"/>
              </w:rPr>
              <w:t>ALTO</w:t>
            </w:r>
          </w:p>
        </w:tc>
      </w:tr>
      <w:tr w:rsidR="005A5662" w:rsidRPr="00DE692F" w14:paraId="78B255C7" w14:textId="77777777" w:rsidTr="00BC7780">
        <w:trPr>
          <w:gridAfter w:val="1"/>
          <w:wAfter w:w="25" w:type="dxa"/>
          <w:cantSplit/>
          <w:trHeight w:val="494"/>
          <w:jc w:val="center"/>
        </w:trPr>
        <w:tc>
          <w:tcPr>
            <w:tcW w:w="907" w:type="dxa"/>
            <w:vMerge/>
            <w:tcBorders>
              <w:top w:val="nil"/>
              <w:left w:val="nil"/>
              <w:bottom w:val="nil"/>
              <w:right w:val="single" w:sz="4" w:space="0" w:color="auto"/>
            </w:tcBorders>
          </w:tcPr>
          <w:p w14:paraId="1D8203B0" w14:textId="77777777" w:rsidR="005A5662" w:rsidRPr="00DE692F" w:rsidRDefault="005A5662" w:rsidP="00BC7780">
            <w:pPr>
              <w:jc w:val="center"/>
              <w:rPr>
                <w:b/>
                <w:bCs/>
              </w:rPr>
            </w:pPr>
          </w:p>
        </w:tc>
        <w:tc>
          <w:tcPr>
            <w:tcW w:w="648" w:type="dxa"/>
            <w:tcBorders>
              <w:left w:val="single" w:sz="4" w:space="0" w:color="auto"/>
            </w:tcBorders>
            <w:vAlign w:val="center"/>
          </w:tcPr>
          <w:p w14:paraId="1FD44431" w14:textId="77777777" w:rsidR="005A5662" w:rsidRPr="00DE692F" w:rsidRDefault="005A5662" w:rsidP="00BC7780">
            <w:pPr>
              <w:spacing w:before="320" w:after="320"/>
              <w:jc w:val="center"/>
              <w:rPr>
                <w:b/>
                <w:bCs/>
              </w:rPr>
            </w:pPr>
            <w:r w:rsidRPr="00DE692F">
              <w:rPr>
                <w:b/>
                <w:bCs/>
              </w:rPr>
              <w:t>3</w:t>
            </w:r>
          </w:p>
        </w:tc>
        <w:tc>
          <w:tcPr>
            <w:tcW w:w="979" w:type="dxa"/>
            <w:shd w:val="clear" w:color="auto" w:fill="B4C6E7" w:themeFill="accent1" w:themeFillTint="66"/>
            <w:vAlign w:val="center"/>
          </w:tcPr>
          <w:p w14:paraId="2D48C9B1" w14:textId="77777777" w:rsidR="005A5662" w:rsidRPr="00DE692F" w:rsidRDefault="005A5662" w:rsidP="00BC7780">
            <w:pPr>
              <w:spacing w:before="320" w:after="320"/>
              <w:ind w:left="-218" w:right="-160"/>
              <w:jc w:val="center"/>
              <w:rPr>
                <w:sz w:val="16"/>
                <w:szCs w:val="16"/>
              </w:rPr>
            </w:pPr>
          </w:p>
        </w:tc>
        <w:tc>
          <w:tcPr>
            <w:tcW w:w="979" w:type="dxa"/>
            <w:shd w:val="clear" w:color="auto" w:fill="8EAADB" w:themeFill="accent1" w:themeFillTint="99"/>
            <w:vAlign w:val="center"/>
          </w:tcPr>
          <w:p w14:paraId="5C6E667D" w14:textId="77777777" w:rsidR="005A5662" w:rsidRPr="00DE692F"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125EA56D" w14:textId="77777777" w:rsidR="005A5662" w:rsidRPr="00DE692F"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53FCFC2C" w14:textId="77777777" w:rsidR="005A5662" w:rsidRPr="00DE692F" w:rsidRDefault="005A5662" w:rsidP="00BC7780">
            <w:pPr>
              <w:spacing w:before="320" w:after="320"/>
              <w:ind w:left="-218" w:right="-191"/>
              <w:jc w:val="center"/>
              <w:rPr>
                <w:sz w:val="16"/>
                <w:szCs w:val="16"/>
              </w:rPr>
            </w:pPr>
          </w:p>
        </w:tc>
        <w:tc>
          <w:tcPr>
            <w:tcW w:w="979" w:type="dxa"/>
            <w:shd w:val="clear" w:color="auto" w:fill="2F5496" w:themeFill="accent1" w:themeFillShade="BF"/>
            <w:vAlign w:val="center"/>
          </w:tcPr>
          <w:p w14:paraId="2B62F8F4" w14:textId="77777777" w:rsidR="005A5662" w:rsidRPr="00DE692F" w:rsidRDefault="005A5662" w:rsidP="00BC7780">
            <w:pPr>
              <w:spacing w:before="320" w:after="320"/>
              <w:ind w:left="-218" w:right="-160"/>
              <w:jc w:val="center"/>
              <w:rPr>
                <w:color w:val="FFFFFF" w:themeColor="background1"/>
                <w:sz w:val="16"/>
                <w:szCs w:val="16"/>
              </w:rPr>
            </w:pPr>
          </w:p>
        </w:tc>
        <w:tc>
          <w:tcPr>
            <w:tcW w:w="1365" w:type="dxa"/>
            <w:tcBorders>
              <w:top w:val="nil"/>
              <w:bottom w:val="nil"/>
            </w:tcBorders>
          </w:tcPr>
          <w:p w14:paraId="0EF581BC" w14:textId="77777777" w:rsidR="005A5662" w:rsidRPr="00DE692F" w:rsidRDefault="005A5662" w:rsidP="00BC7780">
            <w:pPr>
              <w:spacing w:before="320" w:after="320"/>
              <w:jc w:val="center"/>
              <w:rPr>
                <w:b/>
                <w:bCs/>
                <w:color w:val="FFFFFF" w:themeColor="background1"/>
                <w:sz w:val="18"/>
                <w:szCs w:val="18"/>
              </w:rPr>
            </w:pPr>
          </w:p>
        </w:tc>
        <w:tc>
          <w:tcPr>
            <w:tcW w:w="671" w:type="dxa"/>
            <w:tcBorders>
              <w:right w:val="single" w:sz="4" w:space="0" w:color="auto"/>
            </w:tcBorders>
            <w:shd w:val="clear" w:color="auto" w:fill="2F5496" w:themeFill="accent1" w:themeFillShade="BF"/>
            <w:vAlign w:val="center"/>
          </w:tcPr>
          <w:p w14:paraId="7B7EBBA5" w14:textId="77777777" w:rsidR="005A5662" w:rsidRPr="00DE692F" w:rsidRDefault="005A5662" w:rsidP="00BC7780">
            <w:pPr>
              <w:spacing w:before="320" w:after="320"/>
              <w:jc w:val="center"/>
              <w:rPr>
                <w:b/>
                <w:bCs/>
                <w:color w:val="FFFFFF" w:themeColor="background1"/>
                <w:sz w:val="18"/>
                <w:szCs w:val="18"/>
              </w:rPr>
            </w:pPr>
          </w:p>
        </w:tc>
        <w:tc>
          <w:tcPr>
            <w:tcW w:w="1365" w:type="dxa"/>
            <w:tcBorders>
              <w:top w:val="nil"/>
              <w:left w:val="single" w:sz="4" w:space="0" w:color="auto"/>
              <w:bottom w:val="nil"/>
              <w:right w:val="nil"/>
            </w:tcBorders>
          </w:tcPr>
          <w:p w14:paraId="47F1AB8B" w14:textId="3CCD9457" w:rsidR="005A5662" w:rsidRPr="00DE692F" w:rsidRDefault="00F34516" w:rsidP="00BC7780">
            <w:pPr>
              <w:spacing w:before="320" w:after="320"/>
              <w:jc w:val="left"/>
              <w:rPr>
                <w:b/>
                <w:bCs/>
                <w:sz w:val="18"/>
                <w:szCs w:val="18"/>
              </w:rPr>
            </w:pPr>
            <w:r w:rsidRPr="00DE692F">
              <w:rPr>
                <w:b/>
                <w:bCs/>
                <w:sz w:val="18"/>
                <w:szCs w:val="18"/>
              </w:rPr>
              <w:t>SUSTANCIAL</w:t>
            </w:r>
          </w:p>
        </w:tc>
      </w:tr>
      <w:tr w:rsidR="005A5662" w:rsidRPr="00DE692F" w14:paraId="7607AD94" w14:textId="77777777" w:rsidTr="00BC7780">
        <w:trPr>
          <w:gridAfter w:val="1"/>
          <w:wAfter w:w="25" w:type="dxa"/>
          <w:cantSplit/>
          <w:trHeight w:val="422"/>
          <w:jc w:val="center"/>
        </w:trPr>
        <w:tc>
          <w:tcPr>
            <w:tcW w:w="907" w:type="dxa"/>
            <w:vMerge/>
            <w:tcBorders>
              <w:top w:val="nil"/>
              <w:left w:val="nil"/>
              <w:bottom w:val="nil"/>
              <w:right w:val="single" w:sz="4" w:space="0" w:color="auto"/>
            </w:tcBorders>
          </w:tcPr>
          <w:p w14:paraId="70DDC84B" w14:textId="77777777" w:rsidR="005A5662" w:rsidRPr="00DE692F" w:rsidRDefault="005A5662" w:rsidP="00BC7780">
            <w:pPr>
              <w:jc w:val="center"/>
              <w:rPr>
                <w:b/>
                <w:bCs/>
              </w:rPr>
            </w:pPr>
          </w:p>
        </w:tc>
        <w:tc>
          <w:tcPr>
            <w:tcW w:w="648" w:type="dxa"/>
            <w:tcBorders>
              <w:left w:val="single" w:sz="4" w:space="0" w:color="auto"/>
            </w:tcBorders>
            <w:vAlign w:val="center"/>
          </w:tcPr>
          <w:p w14:paraId="0759E1B5" w14:textId="77777777" w:rsidR="005A5662" w:rsidRPr="00DE692F" w:rsidRDefault="005A5662" w:rsidP="00BC7780">
            <w:pPr>
              <w:spacing w:before="320" w:after="320"/>
              <w:jc w:val="center"/>
              <w:rPr>
                <w:b/>
                <w:bCs/>
              </w:rPr>
            </w:pPr>
            <w:r w:rsidRPr="00DE692F">
              <w:rPr>
                <w:b/>
                <w:bCs/>
              </w:rPr>
              <w:t>2</w:t>
            </w:r>
          </w:p>
        </w:tc>
        <w:tc>
          <w:tcPr>
            <w:tcW w:w="979" w:type="dxa"/>
            <w:shd w:val="clear" w:color="auto" w:fill="B4C6E7" w:themeFill="accent1" w:themeFillTint="66"/>
            <w:vAlign w:val="center"/>
          </w:tcPr>
          <w:p w14:paraId="1E3484FE" w14:textId="77777777" w:rsidR="005A5662" w:rsidRPr="00DE692F" w:rsidRDefault="005A5662" w:rsidP="00BC7780">
            <w:pPr>
              <w:spacing w:before="320" w:after="320"/>
              <w:ind w:left="-218" w:right="-160"/>
              <w:jc w:val="center"/>
              <w:rPr>
                <w:b/>
                <w:bCs/>
                <w:sz w:val="16"/>
                <w:szCs w:val="16"/>
              </w:rPr>
            </w:pPr>
          </w:p>
        </w:tc>
        <w:tc>
          <w:tcPr>
            <w:tcW w:w="979" w:type="dxa"/>
            <w:shd w:val="clear" w:color="auto" w:fill="B4C6E7" w:themeFill="accent1" w:themeFillTint="66"/>
            <w:vAlign w:val="center"/>
          </w:tcPr>
          <w:p w14:paraId="5FDECC81" w14:textId="77777777" w:rsidR="005A5662" w:rsidRPr="00DE692F"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01584E9A" w14:textId="77777777" w:rsidR="005A5662" w:rsidRPr="00DE692F" w:rsidRDefault="005A5662" w:rsidP="00BC7780">
            <w:pPr>
              <w:spacing w:before="320" w:after="320"/>
              <w:ind w:left="-218" w:right="-160"/>
              <w:jc w:val="center"/>
              <w:rPr>
                <w:sz w:val="16"/>
                <w:szCs w:val="16"/>
              </w:rPr>
            </w:pPr>
          </w:p>
        </w:tc>
        <w:tc>
          <w:tcPr>
            <w:tcW w:w="979" w:type="dxa"/>
            <w:shd w:val="clear" w:color="auto" w:fill="8EAADB" w:themeFill="accent1" w:themeFillTint="99"/>
            <w:vAlign w:val="center"/>
          </w:tcPr>
          <w:p w14:paraId="33CC2657" w14:textId="77777777" w:rsidR="005A5662" w:rsidRPr="00DE692F"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39E79A85" w14:textId="77777777" w:rsidR="005A5662" w:rsidRPr="00DE692F" w:rsidRDefault="005A5662" w:rsidP="00BC7780">
            <w:pPr>
              <w:spacing w:before="320" w:after="320"/>
              <w:ind w:left="-218" w:right="-191"/>
              <w:jc w:val="center"/>
              <w:rPr>
                <w:sz w:val="16"/>
                <w:szCs w:val="16"/>
              </w:rPr>
            </w:pPr>
          </w:p>
        </w:tc>
        <w:tc>
          <w:tcPr>
            <w:tcW w:w="1365" w:type="dxa"/>
            <w:tcBorders>
              <w:top w:val="nil"/>
              <w:bottom w:val="nil"/>
            </w:tcBorders>
          </w:tcPr>
          <w:p w14:paraId="051FA72A" w14:textId="77777777" w:rsidR="005A5662" w:rsidRPr="00DE692F" w:rsidRDefault="005A5662" w:rsidP="00BC7780">
            <w:pPr>
              <w:spacing w:before="320" w:after="320"/>
              <w:jc w:val="center"/>
              <w:rPr>
                <w:b/>
                <w:bCs/>
                <w:sz w:val="18"/>
                <w:szCs w:val="18"/>
              </w:rPr>
            </w:pPr>
          </w:p>
        </w:tc>
        <w:tc>
          <w:tcPr>
            <w:tcW w:w="671" w:type="dxa"/>
            <w:tcBorders>
              <w:right w:val="single" w:sz="4" w:space="0" w:color="auto"/>
            </w:tcBorders>
            <w:shd w:val="clear" w:color="auto" w:fill="8EAADB" w:themeFill="accent1" w:themeFillTint="99"/>
            <w:vAlign w:val="center"/>
          </w:tcPr>
          <w:p w14:paraId="2A5CB2F4" w14:textId="77777777" w:rsidR="005A5662" w:rsidRPr="00DE692F" w:rsidRDefault="005A5662" w:rsidP="00BC7780">
            <w:pPr>
              <w:spacing w:before="320" w:after="320"/>
              <w:jc w:val="center"/>
              <w:rPr>
                <w:b/>
                <w:bCs/>
                <w:sz w:val="18"/>
                <w:szCs w:val="18"/>
              </w:rPr>
            </w:pPr>
          </w:p>
        </w:tc>
        <w:tc>
          <w:tcPr>
            <w:tcW w:w="1365" w:type="dxa"/>
            <w:tcBorders>
              <w:top w:val="nil"/>
              <w:left w:val="single" w:sz="4" w:space="0" w:color="auto"/>
              <w:bottom w:val="nil"/>
              <w:right w:val="nil"/>
            </w:tcBorders>
          </w:tcPr>
          <w:p w14:paraId="4149F310" w14:textId="691B490F" w:rsidR="005A5662" w:rsidRPr="00DE692F" w:rsidRDefault="00F34516" w:rsidP="00BC7780">
            <w:pPr>
              <w:spacing w:before="320" w:after="320"/>
              <w:jc w:val="left"/>
              <w:rPr>
                <w:b/>
                <w:bCs/>
                <w:sz w:val="18"/>
                <w:szCs w:val="18"/>
              </w:rPr>
            </w:pPr>
            <w:r w:rsidRPr="00DE692F">
              <w:rPr>
                <w:b/>
                <w:bCs/>
                <w:sz w:val="18"/>
                <w:szCs w:val="18"/>
              </w:rPr>
              <w:t>MODERADO</w:t>
            </w:r>
          </w:p>
        </w:tc>
      </w:tr>
      <w:tr w:rsidR="005A5662" w:rsidRPr="00DE692F" w14:paraId="29C199FC" w14:textId="77777777" w:rsidTr="00BC7780">
        <w:trPr>
          <w:gridAfter w:val="1"/>
          <w:wAfter w:w="25" w:type="dxa"/>
          <w:cantSplit/>
          <w:trHeight w:val="179"/>
          <w:jc w:val="center"/>
        </w:trPr>
        <w:tc>
          <w:tcPr>
            <w:tcW w:w="907" w:type="dxa"/>
            <w:vMerge/>
            <w:tcBorders>
              <w:top w:val="nil"/>
              <w:left w:val="nil"/>
              <w:bottom w:val="nil"/>
              <w:right w:val="single" w:sz="4" w:space="0" w:color="auto"/>
            </w:tcBorders>
          </w:tcPr>
          <w:p w14:paraId="5A35F536" w14:textId="77777777" w:rsidR="005A5662" w:rsidRPr="00DE692F" w:rsidRDefault="005A5662" w:rsidP="00BC7780">
            <w:pPr>
              <w:jc w:val="center"/>
              <w:rPr>
                <w:b/>
                <w:bCs/>
              </w:rPr>
            </w:pPr>
          </w:p>
        </w:tc>
        <w:tc>
          <w:tcPr>
            <w:tcW w:w="648" w:type="dxa"/>
            <w:tcBorders>
              <w:left w:val="single" w:sz="4" w:space="0" w:color="auto"/>
              <w:bottom w:val="single" w:sz="4" w:space="0" w:color="auto"/>
            </w:tcBorders>
            <w:vAlign w:val="center"/>
          </w:tcPr>
          <w:p w14:paraId="630CFF91" w14:textId="77777777" w:rsidR="005A5662" w:rsidRPr="00DE692F" w:rsidRDefault="005A5662" w:rsidP="00BC7780">
            <w:pPr>
              <w:spacing w:before="320" w:after="320"/>
              <w:jc w:val="center"/>
              <w:rPr>
                <w:b/>
                <w:bCs/>
              </w:rPr>
            </w:pPr>
            <w:r w:rsidRPr="00DE692F">
              <w:rPr>
                <w:b/>
                <w:bCs/>
              </w:rPr>
              <w:t>1</w:t>
            </w:r>
          </w:p>
        </w:tc>
        <w:tc>
          <w:tcPr>
            <w:tcW w:w="979" w:type="dxa"/>
            <w:shd w:val="clear" w:color="auto" w:fill="B4C6E7" w:themeFill="accent1" w:themeFillTint="66"/>
            <w:vAlign w:val="center"/>
          </w:tcPr>
          <w:p w14:paraId="04B54D8C" w14:textId="77777777" w:rsidR="005A5662" w:rsidRPr="00DE692F"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3A6CAE9B" w14:textId="77777777" w:rsidR="005A5662" w:rsidRPr="00DE692F"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7673335E" w14:textId="77777777" w:rsidR="005A5662" w:rsidRPr="00DE692F"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3C868CCB" w14:textId="77777777" w:rsidR="005A5662" w:rsidRPr="00DE692F"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10D4141A" w14:textId="77777777" w:rsidR="005A5662" w:rsidRPr="00DE692F" w:rsidRDefault="005A5662" w:rsidP="00BC7780">
            <w:pPr>
              <w:spacing w:before="320" w:after="320"/>
              <w:ind w:left="-218" w:right="-160"/>
              <w:jc w:val="center"/>
              <w:rPr>
                <w:sz w:val="16"/>
                <w:szCs w:val="16"/>
              </w:rPr>
            </w:pPr>
          </w:p>
        </w:tc>
        <w:tc>
          <w:tcPr>
            <w:tcW w:w="1365" w:type="dxa"/>
            <w:tcBorders>
              <w:top w:val="nil"/>
              <w:bottom w:val="nil"/>
            </w:tcBorders>
          </w:tcPr>
          <w:p w14:paraId="3313E072" w14:textId="77777777" w:rsidR="005A5662" w:rsidRPr="00DE692F" w:rsidRDefault="005A5662" w:rsidP="00BC7780">
            <w:pPr>
              <w:spacing w:before="320" w:after="320"/>
              <w:jc w:val="center"/>
              <w:rPr>
                <w:b/>
                <w:bCs/>
                <w:sz w:val="18"/>
                <w:szCs w:val="18"/>
              </w:rPr>
            </w:pPr>
          </w:p>
        </w:tc>
        <w:tc>
          <w:tcPr>
            <w:tcW w:w="671" w:type="dxa"/>
            <w:tcBorders>
              <w:bottom w:val="single" w:sz="4" w:space="0" w:color="auto"/>
              <w:right w:val="single" w:sz="4" w:space="0" w:color="auto"/>
            </w:tcBorders>
            <w:shd w:val="clear" w:color="auto" w:fill="B4C6E7" w:themeFill="accent1" w:themeFillTint="66"/>
            <w:vAlign w:val="center"/>
          </w:tcPr>
          <w:p w14:paraId="1C963555" w14:textId="77777777" w:rsidR="005A5662" w:rsidRPr="00DE692F" w:rsidRDefault="005A5662" w:rsidP="00BC7780">
            <w:pPr>
              <w:spacing w:before="320" w:after="320"/>
              <w:jc w:val="center"/>
              <w:rPr>
                <w:b/>
                <w:bCs/>
                <w:sz w:val="18"/>
                <w:szCs w:val="18"/>
              </w:rPr>
            </w:pPr>
          </w:p>
        </w:tc>
        <w:tc>
          <w:tcPr>
            <w:tcW w:w="1365" w:type="dxa"/>
            <w:tcBorders>
              <w:top w:val="nil"/>
              <w:left w:val="single" w:sz="4" w:space="0" w:color="auto"/>
              <w:bottom w:val="nil"/>
              <w:right w:val="nil"/>
            </w:tcBorders>
          </w:tcPr>
          <w:p w14:paraId="4988AF08" w14:textId="0D16BE45" w:rsidR="005A5662" w:rsidRPr="00DE692F" w:rsidRDefault="00F34516" w:rsidP="00BC7780">
            <w:pPr>
              <w:spacing w:before="320" w:after="320"/>
              <w:jc w:val="left"/>
              <w:rPr>
                <w:b/>
                <w:bCs/>
                <w:sz w:val="18"/>
                <w:szCs w:val="18"/>
              </w:rPr>
            </w:pPr>
            <w:r w:rsidRPr="00DE692F">
              <w:rPr>
                <w:b/>
                <w:bCs/>
                <w:sz w:val="18"/>
                <w:szCs w:val="18"/>
              </w:rPr>
              <w:t>BAJO</w:t>
            </w:r>
          </w:p>
        </w:tc>
      </w:tr>
      <w:tr w:rsidR="00F34516" w:rsidRPr="00DE692F" w14:paraId="40C79057" w14:textId="77777777" w:rsidTr="00BC7780">
        <w:trPr>
          <w:gridAfter w:val="1"/>
          <w:wAfter w:w="25" w:type="dxa"/>
          <w:trHeight w:val="413"/>
          <w:jc w:val="center"/>
        </w:trPr>
        <w:tc>
          <w:tcPr>
            <w:tcW w:w="907" w:type="dxa"/>
            <w:tcBorders>
              <w:top w:val="nil"/>
              <w:left w:val="nil"/>
              <w:bottom w:val="nil"/>
              <w:right w:val="nil"/>
            </w:tcBorders>
          </w:tcPr>
          <w:p w14:paraId="3C7629B7" w14:textId="77777777" w:rsidR="005A5662" w:rsidRPr="00DE692F" w:rsidRDefault="005A5662" w:rsidP="00BC7780">
            <w:pPr>
              <w:jc w:val="center"/>
              <w:rPr>
                <w:b/>
                <w:bCs/>
              </w:rPr>
            </w:pPr>
          </w:p>
        </w:tc>
        <w:tc>
          <w:tcPr>
            <w:tcW w:w="648" w:type="dxa"/>
            <w:tcBorders>
              <w:left w:val="nil"/>
              <w:bottom w:val="nil"/>
            </w:tcBorders>
            <w:vAlign w:val="center"/>
          </w:tcPr>
          <w:p w14:paraId="1C2B1418" w14:textId="77777777" w:rsidR="005A5662" w:rsidRPr="00DE692F" w:rsidRDefault="005A5662" w:rsidP="00BC7780">
            <w:pPr>
              <w:jc w:val="center"/>
              <w:rPr>
                <w:b/>
                <w:bCs/>
              </w:rPr>
            </w:pPr>
          </w:p>
        </w:tc>
        <w:tc>
          <w:tcPr>
            <w:tcW w:w="979" w:type="dxa"/>
            <w:tcBorders>
              <w:bottom w:val="single" w:sz="4" w:space="0" w:color="auto"/>
            </w:tcBorders>
            <w:vAlign w:val="center"/>
          </w:tcPr>
          <w:p w14:paraId="3BAEA28D" w14:textId="77777777" w:rsidR="005A5662" w:rsidRPr="00DE692F" w:rsidRDefault="005A5662" w:rsidP="00BC7780">
            <w:pPr>
              <w:jc w:val="center"/>
              <w:rPr>
                <w:b/>
                <w:bCs/>
              </w:rPr>
            </w:pPr>
            <w:r w:rsidRPr="00DE692F">
              <w:rPr>
                <w:b/>
                <w:bCs/>
              </w:rPr>
              <w:t>1</w:t>
            </w:r>
          </w:p>
        </w:tc>
        <w:tc>
          <w:tcPr>
            <w:tcW w:w="979" w:type="dxa"/>
            <w:tcBorders>
              <w:bottom w:val="single" w:sz="4" w:space="0" w:color="auto"/>
            </w:tcBorders>
            <w:vAlign w:val="center"/>
          </w:tcPr>
          <w:p w14:paraId="359EE027" w14:textId="77777777" w:rsidR="005A5662" w:rsidRPr="00DE692F" w:rsidRDefault="005A5662" w:rsidP="00BC7780">
            <w:pPr>
              <w:jc w:val="center"/>
              <w:rPr>
                <w:b/>
                <w:bCs/>
              </w:rPr>
            </w:pPr>
            <w:r w:rsidRPr="00DE692F">
              <w:rPr>
                <w:b/>
                <w:bCs/>
              </w:rPr>
              <w:t>2</w:t>
            </w:r>
          </w:p>
        </w:tc>
        <w:tc>
          <w:tcPr>
            <w:tcW w:w="979" w:type="dxa"/>
            <w:tcBorders>
              <w:bottom w:val="single" w:sz="4" w:space="0" w:color="auto"/>
            </w:tcBorders>
            <w:vAlign w:val="center"/>
          </w:tcPr>
          <w:p w14:paraId="2B0A0559" w14:textId="77777777" w:rsidR="005A5662" w:rsidRPr="00DE692F" w:rsidRDefault="005A5662" w:rsidP="00BC7780">
            <w:pPr>
              <w:jc w:val="center"/>
              <w:rPr>
                <w:b/>
                <w:bCs/>
              </w:rPr>
            </w:pPr>
            <w:r w:rsidRPr="00DE692F">
              <w:rPr>
                <w:b/>
                <w:bCs/>
              </w:rPr>
              <w:t>3</w:t>
            </w:r>
          </w:p>
        </w:tc>
        <w:tc>
          <w:tcPr>
            <w:tcW w:w="979" w:type="dxa"/>
            <w:tcBorders>
              <w:bottom w:val="single" w:sz="4" w:space="0" w:color="auto"/>
            </w:tcBorders>
            <w:vAlign w:val="center"/>
          </w:tcPr>
          <w:p w14:paraId="3A7BDE41" w14:textId="77777777" w:rsidR="005A5662" w:rsidRPr="00DE692F" w:rsidRDefault="005A5662" w:rsidP="00BC7780">
            <w:pPr>
              <w:jc w:val="center"/>
              <w:rPr>
                <w:b/>
                <w:bCs/>
              </w:rPr>
            </w:pPr>
            <w:r w:rsidRPr="00DE692F">
              <w:rPr>
                <w:b/>
                <w:bCs/>
              </w:rPr>
              <w:t>4</w:t>
            </w:r>
          </w:p>
        </w:tc>
        <w:tc>
          <w:tcPr>
            <w:tcW w:w="979" w:type="dxa"/>
            <w:tcBorders>
              <w:bottom w:val="single" w:sz="4" w:space="0" w:color="auto"/>
            </w:tcBorders>
            <w:vAlign w:val="center"/>
          </w:tcPr>
          <w:p w14:paraId="3D0A42EC" w14:textId="77777777" w:rsidR="005A5662" w:rsidRPr="00DE692F" w:rsidRDefault="005A5662" w:rsidP="00BC7780">
            <w:pPr>
              <w:jc w:val="center"/>
              <w:rPr>
                <w:b/>
                <w:bCs/>
              </w:rPr>
            </w:pPr>
            <w:r w:rsidRPr="00DE692F">
              <w:rPr>
                <w:b/>
                <w:bCs/>
              </w:rPr>
              <w:t>5</w:t>
            </w:r>
          </w:p>
        </w:tc>
        <w:tc>
          <w:tcPr>
            <w:tcW w:w="1365" w:type="dxa"/>
            <w:tcBorders>
              <w:top w:val="nil"/>
              <w:bottom w:val="nil"/>
              <w:right w:val="nil"/>
            </w:tcBorders>
          </w:tcPr>
          <w:p w14:paraId="4DB6335F" w14:textId="77777777" w:rsidR="005A5662" w:rsidRPr="00DE692F" w:rsidRDefault="005A5662" w:rsidP="00BC7780">
            <w:pPr>
              <w:jc w:val="center"/>
              <w:rPr>
                <w:b/>
                <w:bCs/>
              </w:rPr>
            </w:pPr>
          </w:p>
        </w:tc>
        <w:tc>
          <w:tcPr>
            <w:tcW w:w="671" w:type="dxa"/>
            <w:tcBorders>
              <w:left w:val="nil"/>
              <w:bottom w:val="nil"/>
              <w:right w:val="nil"/>
            </w:tcBorders>
          </w:tcPr>
          <w:p w14:paraId="61DDA2F8" w14:textId="77777777" w:rsidR="005A5662" w:rsidRPr="00DE692F" w:rsidRDefault="005A5662" w:rsidP="00BC7780">
            <w:pPr>
              <w:jc w:val="center"/>
              <w:rPr>
                <w:b/>
                <w:bCs/>
              </w:rPr>
            </w:pPr>
          </w:p>
        </w:tc>
        <w:tc>
          <w:tcPr>
            <w:tcW w:w="1365" w:type="dxa"/>
            <w:tcBorders>
              <w:top w:val="nil"/>
              <w:left w:val="nil"/>
              <w:bottom w:val="nil"/>
              <w:right w:val="nil"/>
            </w:tcBorders>
          </w:tcPr>
          <w:p w14:paraId="0EC1EDAC" w14:textId="77777777" w:rsidR="005A5662" w:rsidRPr="00DE692F" w:rsidRDefault="005A5662" w:rsidP="00BC7780">
            <w:pPr>
              <w:jc w:val="center"/>
              <w:rPr>
                <w:b/>
                <w:bCs/>
              </w:rPr>
            </w:pPr>
          </w:p>
        </w:tc>
      </w:tr>
      <w:tr w:rsidR="00F34516" w:rsidRPr="00DE692F" w14:paraId="5E848146" w14:textId="77777777" w:rsidTr="00BC7780">
        <w:trPr>
          <w:trHeight w:val="161"/>
          <w:jc w:val="center"/>
        </w:trPr>
        <w:tc>
          <w:tcPr>
            <w:tcW w:w="907" w:type="dxa"/>
            <w:tcBorders>
              <w:top w:val="nil"/>
              <w:left w:val="nil"/>
              <w:bottom w:val="nil"/>
              <w:right w:val="nil"/>
            </w:tcBorders>
          </w:tcPr>
          <w:p w14:paraId="42F91D91" w14:textId="77777777" w:rsidR="005A5662" w:rsidRPr="00DE692F" w:rsidRDefault="005A5662" w:rsidP="00BC7780">
            <w:pPr>
              <w:spacing w:after="0"/>
              <w:jc w:val="center"/>
              <w:rPr>
                <w:b/>
                <w:bCs/>
              </w:rPr>
            </w:pPr>
          </w:p>
        </w:tc>
        <w:tc>
          <w:tcPr>
            <w:tcW w:w="648" w:type="dxa"/>
            <w:tcBorders>
              <w:top w:val="nil"/>
              <w:left w:val="nil"/>
              <w:bottom w:val="nil"/>
              <w:right w:val="nil"/>
            </w:tcBorders>
            <w:vAlign w:val="center"/>
          </w:tcPr>
          <w:p w14:paraId="69F013D9" w14:textId="77777777" w:rsidR="005A5662" w:rsidRPr="00DE692F" w:rsidRDefault="005A5662" w:rsidP="00BC7780">
            <w:pPr>
              <w:spacing w:after="0"/>
              <w:jc w:val="center"/>
              <w:rPr>
                <w:b/>
                <w:bCs/>
              </w:rPr>
            </w:pPr>
          </w:p>
        </w:tc>
        <w:tc>
          <w:tcPr>
            <w:tcW w:w="4895" w:type="dxa"/>
            <w:gridSpan w:val="5"/>
            <w:tcBorders>
              <w:left w:val="nil"/>
              <w:bottom w:val="nil"/>
              <w:right w:val="nil"/>
            </w:tcBorders>
            <w:vAlign w:val="center"/>
          </w:tcPr>
          <w:p w14:paraId="3A36534F" w14:textId="5F9D0FE4" w:rsidR="005A5662" w:rsidRPr="00DE692F" w:rsidRDefault="005A5662" w:rsidP="00BC7780">
            <w:pPr>
              <w:spacing w:after="0"/>
              <w:jc w:val="center"/>
              <w:rPr>
                <w:b/>
                <w:bCs/>
              </w:rPr>
            </w:pPr>
            <w:r w:rsidRPr="00DE692F">
              <w:rPr>
                <w:b/>
                <w:bCs/>
                <w:sz w:val="28"/>
                <w:szCs w:val="28"/>
              </w:rPr>
              <w:t>Probabilidad</w:t>
            </w:r>
          </w:p>
        </w:tc>
        <w:tc>
          <w:tcPr>
            <w:tcW w:w="1365" w:type="dxa"/>
            <w:tcBorders>
              <w:top w:val="nil"/>
              <w:left w:val="nil"/>
              <w:bottom w:val="nil"/>
              <w:right w:val="nil"/>
            </w:tcBorders>
          </w:tcPr>
          <w:p w14:paraId="5126D19E" w14:textId="77777777" w:rsidR="005A5662" w:rsidRPr="00DE692F" w:rsidRDefault="005A5662" w:rsidP="00BC7780">
            <w:pPr>
              <w:spacing w:after="0"/>
              <w:jc w:val="center"/>
              <w:rPr>
                <w:b/>
                <w:bCs/>
                <w:sz w:val="28"/>
                <w:szCs w:val="28"/>
              </w:rPr>
            </w:pPr>
          </w:p>
        </w:tc>
        <w:tc>
          <w:tcPr>
            <w:tcW w:w="671" w:type="dxa"/>
            <w:tcBorders>
              <w:top w:val="nil"/>
              <w:left w:val="nil"/>
              <w:bottom w:val="nil"/>
              <w:right w:val="nil"/>
            </w:tcBorders>
          </w:tcPr>
          <w:p w14:paraId="59448505" w14:textId="77777777" w:rsidR="005A5662" w:rsidRPr="00DE692F" w:rsidRDefault="005A5662" w:rsidP="00BC7780">
            <w:pPr>
              <w:spacing w:after="0"/>
              <w:jc w:val="center"/>
              <w:rPr>
                <w:b/>
                <w:bCs/>
                <w:sz w:val="28"/>
                <w:szCs w:val="28"/>
              </w:rPr>
            </w:pPr>
          </w:p>
        </w:tc>
        <w:tc>
          <w:tcPr>
            <w:tcW w:w="1390" w:type="dxa"/>
            <w:gridSpan w:val="2"/>
            <w:tcBorders>
              <w:top w:val="nil"/>
              <w:left w:val="nil"/>
              <w:bottom w:val="nil"/>
              <w:right w:val="nil"/>
            </w:tcBorders>
          </w:tcPr>
          <w:p w14:paraId="34AFFCDD" w14:textId="77777777" w:rsidR="005A5662" w:rsidRPr="00DE692F" w:rsidRDefault="005A5662" w:rsidP="00BC7780">
            <w:pPr>
              <w:spacing w:after="0"/>
              <w:jc w:val="center"/>
              <w:rPr>
                <w:b/>
                <w:bCs/>
                <w:sz w:val="28"/>
                <w:szCs w:val="28"/>
              </w:rPr>
            </w:pPr>
          </w:p>
        </w:tc>
      </w:tr>
    </w:tbl>
    <w:p w14:paraId="5818A35E" w14:textId="77777777" w:rsidR="001B19B3" w:rsidRPr="00DE692F" w:rsidRDefault="001B19B3" w:rsidP="001B19B3">
      <w:pPr>
        <w:tabs>
          <w:tab w:val="left" w:pos="4680"/>
        </w:tabs>
        <w:ind w:left="360"/>
        <w:rPr>
          <w:rFonts w:asciiTheme="minorHAnsi" w:eastAsia="Calibri" w:hAnsiTheme="minorHAnsi" w:cstheme="minorHAnsi"/>
          <w:b/>
          <w:bCs/>
          <w:sz w:val="20"/>
          <w:szCs w:val="20"/>
        </w:rPr>
      </w:pPr>
    </w:p>
    <w:tbl>
      <w:tblPr>
        <w:tblStyle w:val="Rutntstabell1ljusdekorfrg31"/>
        <w:tblW w:w="5000" w:type="pct"/>
        <w:tblLayout w:type="fixed"/>
        <w:tblLook w:val="04A0" w:firstRow="1" w:lastRow="0" w:firstColumn="1" w:lastColumn="0" w:noHBand="0" w:noVBand="1"/>
      </w:tblPr>
      <w:tblGrid>
        <w:gridCol w:w="2920"/>
        <w:gridCol w:w="2493"/>
        <w:gridCol w:w="2496"/>
        <w:gridCol w:w="2496"/>
        <w:gridCol w:w="2496"/>
        <w:gridCol w:w="2487"/>
      </w:tblGrid>
      <w:tr w:rsidR="00151131" w:rsidRPr="00DE692F" w14:paraId="359EAA5D" w14:textId="77777777" w:rsidTr="00AE3C9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 w:type="pct"/>
            <w:vMerge w:val="restart"/>
            <w:tcBorders>
              <w:top w:val="single" w:sz="4" w:space="0" w:color="auto"/>
              <w:left w:val="single" w:sz="4" w:space="0" w:color="auto"/>
              <w:right w:val="single" w:sz="4" w:space="0" w:color="auto"/>
            </w:tcBorders>
          </w:tcPr>
          <w:p w14:paraId="0C611788" w14:textId="77777777" w:rsidR="00151131" w:rsidRPr="00DE692F" w:rsidRDefault="00151131" w:rsidP="00AE3C90">
            <w:pPr>
              <w:spacing w:line="276" w:lineRule="auto"/>
              <w:jc w:val="center"/>
              <w:rPr>
                <w:rFonts w:eastAsiaTheme="minorEastAsia"/>
                <w:b w:val="0"/>
                <w:bCs w:val="0"/>
              </w:rPr>
            </w:pPr>
            <w:r w:rsidRPr="00DE692F">
              <w:rPr>
                <w:rFonts w:eastAsiaTheme="minorEastAsia"/>
              </w:rPr>
              <w:t>Probabilidad</w:t>
            </w:r>
          </w:p>
        </w:tc>
        <w:tc>
          <w:tcPr>
            <w:tcW w:w="810"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03D08551" w14:textId="77777777" w:rsidR="00151131" w:rsidRPr="00DE692F"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No probable</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71971DC9" w14:textId="77777777" w:rsidR="00151131" w:rsidRPr="00DE692F"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Baja</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4D5E8C0C" w14:textId="77777777" w:rsidR="00151131" w:rsidRPr="00DE692F"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Moderada</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3F2F9515" w14:textId="77777777" w:rsidR="00151131" w:rsidRPr="00DE692F"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Alta</w:t>
            </w:r>
          </w:p>
        </w:tc>
        <w:tc>
          <w:tcPr>
            <w:tcW w:w="808"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1F770F9D" w14:textId="77777777" w:rsidR="00151131" w:rsidRPr="00DE692F"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Esperada</w:t>
            </w:r>
          </w:p>
        </w:tc>
      </w:tr>
      <w:tr w:rsidR="00151131" w:rsidRPr="00DE692F" w14:paraId="61DE73D0" w14:textId="77777777" w:rsidTr="00AE3C90">
        <w:trPr>
          <w:trHeight w:val="340"/>
        </w:trPr>
        <w:tc>
          <w:tcPr>
            <w:cnfStyle w:val="001000000000" w:firstRow="0" w:lastRow="0" w:firstColumn="1" w:lastColumn="0" w:oddVBand="0" w:evenVBand="0" w:oddHBand="0" w:evenHBand="0" w:firstRowFirstColumn="0" w:firstRowLastColumn="0" w:lastRowFirstColumn="0" w:lastRowLastColumn="0"/>
            <w:tcW w:w="949" w:type="pct"/>
            <w:vMerge/>
            <w:tcBorders>
              <w:left w:val="single" w:sz="4" w:space="0" w:color="auto"/>
              <w:bottom w:val="single" w:sz="4" w:space="0" w:color="auto"/>
              <w:right w:val="single" w:sz="4" w:space="0" w:color="auto"/>
            </w:tcBorders>
          </w:tcPr>
          <w:p w14:paraId="22FA91B2" w14:textId="77777777" w:rsidR="00151131" w:rsidRPr="00DE692F" w:rsidRDefault="00151131" w:rsidP="00AE3C90">
            <w:pPr>
              <w:spacing w:line="276" w:lineRule="auto"/>
            </w:pPr>
          </w:p>
        </w:tc>
        <w:tc>
          <w:tcPr>
            <w:tcW w:w="810"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01B42053" w14:textId="77777777" w:rsidR="00151131" w:rsidRPr="00DE692F"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1</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648CEA4" w14:textId="77777777" w:rsidR="00151131" w:rsidRPr="00DE692F"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2</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622C5626" w14:textId="77777777" w:rsidR="00151131" w:rsidRPr="00DE692F"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3</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59F1E837" w14:textId="77777777" w:rsidR="00151131" w:rsidRPr="00DE692F"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4</w:t>
            </w:r>
          </w:p>
        </w:tc>
        <w:tc>
          <w:tcPr>
            <w:tcW w:w="808"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0665BD9" w14:textId="77777777" w:rsidR="00151131" w:rsidRPr="00DE692F"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5</w:t>
            </w:r>
          </w:p>
        </w:tc>
      </w:tr>
      <w:tr w:rsidR="00151131" w:rsidRPr="00DE692F" w14:paraId="3C342C5B" w14:textId="77777777" w:rsidTr="00AE3C90">
        <w:tc>
          <w:tcPr>
            <w:cnfStyle w:val="001000000000" w:firstRow="0" w:lastRow="0" w:firstColumn="1" w:lastColumn="0" w:oddVBand="0" w:evenVBand="0" w:oddHBand="0" w:evenHBand="0" w:firstRowFirstColumn="0" w:firstRowLastColumn="0" w:lastRowFirstColumn="0" w:lastRowLastColumn="0"/>
            <w:tcW w:w="94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0DE68E" w14:textId="77777777" w:rsidR="00151131" w:rsidRPr="00DE692F" w:rsidRDefault="00151131" w:rsidP="00AE3C90">
            <w:pPr>
              <w:spacing w:line="276" w:lineRule="auto"/>
              <w:ind w:left="170" w:right="170"/>
              <w:jc w:val="center"/>
              <w:rPr>
                <w:rFonts w:eastAsiaTheme="minorEastAsia"/>
                <w:sz w:val="16"/>
                <w:szCs w:val="16"/>
              </w:rPr>
            </w:pPr>
            <w:r w:rsidRPr="00DE692F">
              <w:rPr>
                <w:rFonts w:eastAsiaTheme="minorEastAsia"/>
                <w:sz w:val="16"/>
                <w:szCs w:val="16"/>
              </w:rPr>
              <w:t xml:space="preserve">Descripción </w:t>
            </w:r>
          </w:p>
          <w:p w14:paraId="66528FF4" w14:textId="77777777" w:rsidR="00151131" w:rsidRPr="00DE692F" w:rsidRDefault="00151131" w:rsidP="00AE3C90">
            <w:pPr>
              <w:spacing w:line="276" w:lineRule="auto"/>
              <w:ind w:left="170" w:right="170"/>
              <w:jc w:val="center"/>
              <w:rPr>
                <w:rFonts w:eastAsiaTheme="minorEastAsia"/>
                <w:sz w:val="16"/>
                <w:szCs w:val="16"/>
              </w:rPr>
            </w:pPr>
            <w:r w:rsidRPr="00DE692F">
              <w:rPr>
                <w:rFonts w:eastAsiaTheme="minorEastAsia"/>
                <w:sz w:val="16"/>
                <w:szCs w:val="16"/>
              </w:rPr>
              <w:t>("Se espera que el riesgo se materialice…")</w:t>
            </w:r>
          </w:p>
        </w:tc>
        <w:tc>
          <w:tcPr>
            <w:tcW w:w="810" w:type="pct"/>
            <w:tcBorders>
              <w:top w:val="single" w:sz="4" w:space="0" w:color="auto"/>
              <w:left w:val="single" w:sz="4" w:space="0" w:color="auto"/>
              <w:bottom w:val="single" w:sz="4" w:space="0" w:color="auto"/>
              <w:right w:val="single" w:sz="4" w:space="0" w:color="auto"/>
            </w:tcBorders>
            <w:vAlign w:val="center"/>
          </w:tcPr>
          <w:p w14:paraId="08697097"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 xml:space="preserve">Cada 5 años o menos </w:t>
            </w:r>
          </w:p>
          <w:p w14:paraId="50110860"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rPr>
            </w:pPr>
            <w:r w:rsidRPr="00DE692F">
              <w:rPr>
                <w:rFonts w:eastAsiaTheme="minorEastAsia"/>
                <w:b/>
                <w:bCs/>
                <w:sz w:val="16"/>
                <w:szCs w:val="16"/>
                <w:u w:val="single"/>
              </w:rPr>
              <w:t xml:space="preserve">y/o </w:t>
            </w:r>
          </w:p>
          <w:p w14:paraId="387B3B91"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probabilidad muy baja (&lt;20%) de materializarse</w:t>
            </w:r>
          </w:p>
        </w:tc>
        <w:tc>
          <w:tcPr>
            <w:tcW w:w="811" w:type="pct"/>
            <w:tcBorders>
              <w:top w:val="single" w:sz="4" w:space="0" w:color="auto"/>
              <w:left w:val="single" w:sz="4" w:space="0" w:color="auto"/>
              <w:bottom w:val="single" w:sz="4" w:space="0" w:color="auto"/>
              <w:right w:val="single" w:sz="4" w:space="0" w:color="auto"/>
            </w:tcBorders>
            <w:vAlign w:val="center"/>
          </w:tcPr>
          <w:p w14:paraId="6AA90AB5"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 xml:space="preserve">Cada 3-5 años </w:t>
            </w:r>
          </w:p>
          <w:p w14:paraId="720CA435"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rPr>
            </w:pPr>
            <w:r w:rsidRPr="00DE692F">
              <w:rPr>
                <w:rFonts w:eastAsiaTheme="minorEastAsia"/>
                <w:b/>
                <w:bCs/>
                <w:sz w:val="16"/>
                <w:szCs w:val="16"/>
                <w:u w:val="single"/>
              </w:rPr>
              <w:t>y/o</w:t>
            </w:r>
          </w:p>
          <w:p w14:paraId="6A047904"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baja probabilidad (20% - 40%) de materializarse</w:t>
            </w:r>
          </w:p>
        </w:tc>
        <w:tc>
          <w:tcPr>
            <w:tcW w:w="811" w:type="pct"/>
            <w:tcBorders>
              <w:top w:val="single" w:sz="4" w:space="0" w:color="auto"/>
              <w:left w:val="single" w:sz="4" w:space="0" w:color="auto"/>
              <w:bottom w:val="single" w:sz="4" w:space="0" w:color="auto"/>
              <w:right w:val="single" w:sz="4" w:space="0" w:color="auto"/>
            </w:tcBorders>
            <w:vAlign w:val="center"/>
          </w:tcPr>
          <w:p w14:paraId="48A380B8"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Cada 1-3 años</w:t>
            </w:r>
          </w:p>
          <w:p w14:paraId="438DECC2"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rPr>
            </w:pPr>
            <w:r w:rsidRPr="00DE692F">
              <w:rPr>
                <w:rFonts w:eastAsiaTheme="minorEastAsia"/>
                <w:b/>
                <w:bCs/>
                <w:sz w:val="16"/>
                <w:szCs w:val="16"/>
                <w:u w:val="single"/>
              </w:rPr>
              <w:t>y/o</w:t>
            </w:r>
          </w:p>
          <w:p w14:paraId="36C0A71E"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probabilidad de materializarse entre el 40% y el 60%</w:t>
            </w:r>
          </w:p>
        </w:tc>
        <w:tc>
          <w:tcPr>
            <w:tcW w:w="811" w:type="pct"/>
            <w:tcBorders>
              <w:top w:val="single" w:sz="4" w:space="0" w:color="auto"/>
              <w:left w:val="single" w:sz="4" w:space="0" w:color="auto"/>
              <w:bottom w:val="single" w:sz="4" w:space="0" w:color="auto"/>
              <w:right w:val="single" w:sz="4" w:space="0" w:color="auto"/>
            </w:tcBorders>
            <w:vAlign w:val="center"/>
          </w:tcPr>
          <w:p w14:paraId="17D7FF2B"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 xml:space="preserve">Una o dos veces al año </w:t>
            </w:r>
          </w:p>
          <w:p w14:paraId="5464E338"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rPr>
            </w:pPr>
            <w:r w:rsidRPr="00DE692F">
              <w:rPr>
                <w:rFonts w:eastAsiaTheme="minorEastAsia"/>
                <w:b/>
                <w:bCs/>
                <w:sz w:val="16"/>
                <w:szCs w:val="16"/>
                <w:u w:val="single"/>
              </w:rPr>
              <w:t>y/o</w:t>
            </w:r>
          </w:p>
          <w:p w14:paraId="3D6DC9F0"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alta probabilidad de materializarse (60% - 80%)</w:t>
            </w:r>
          </w:p>
        </w:tc>
        <w:tc>
          <w:tcPr>
            <w:tcW w:w="808" w:type="pct"/>
            <w:tcBorders>
              <w:top w:val="single" w:sz="4" w:space="0" w:color="auto"/>
              <w:left w:val="single" w:sz="4" w:space="0" w:color="auto"/>
              <w:bottom w:val="single" w:sz="4" w:space="0" w:color="auto"/>
              <w:right w:val="single" w:sz="4" w:space="0" w:color="auto"/>
            </w:tcBorders>
            <w:vAlign w:val="center"/>
          </w:tcPr>
          <w:p w14:paraId="37E8D9EC"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 xml:space="preserve">Varias veces al año </w:t>
            </w:r>
          </w:p>
          <w:p w14:paraId="7AFD157D"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rPr>
            </w:pPr>
            <w:r w:rsidRPr="00DE692F">
              <w:rPr>
                <w:rFonts w:eastAsiaTheme="minorEastAsia"/>
                <w:b/>
                <w:bCs/>
                <w:sz w:val="16"/>
                <w:szCs w:val="16"/>
                <w:u w:val="single"/>
              </w:rPr>
              <w:t>y/o</w:t>
            </w:r>
          </w:p>
          <w:p w14:paraId="5A2E45AF" w14:textId="77777777" w:rsidR="00151131" w:rsidRPr="00DE692F"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probabilidad de materialización superior al 80</w:t>
            </w:r>
          </w:p>
        </w:tc>
      </w:tr>
    </w:tbl>
    <w:p w14:paraId="4C41720B" w14:textId="77777777" w:rsidR="005E07F5" w:rsidRPr="00DE692F" w:rsidRDefault="005E07F5" w:rsidP="001B19B3">
      <w:pPr>
        <w:tabs>
          <w:tab w:val="left" w:pos="4680"/>
        </w:tabs>
        <w:ind w:left="360"/>
        <w:rPr>
          <w:rFonts w:asciiTheme="minorHAnsi" w:eastAsia="Calibri" w:hAnsiTheme="minorHAnsi" w:cstheme="minorHAnsi"/>
          <w:b/>
          <w:bCs/>
          <w:sz w:val="20"/>
          <w:szCs w:val="20"/>
        </w:rPr>
      </w:pPr>
    </w:p>
    <w:tbl>
      <w:tblPr>
        <w:tblStyle w:val="Rutntstabell1ljusdekorfrg31"/>
        <w:tblW w:w="5000" w:type="pct"/>
        <w:tblLayout w:type="fixed"/>
        <w:tblLook w:val="04A0" w:firstRow="1" w:lastRow="0" w:firstColumn="1" w:lastColumn="0" w:noHBand="0" w:noVBand="1"/>
      </w:tblPr>
      <w:tblGrid>
        <w:gridCol w:w="2923"/>
        <w:gridCol w:w="2493"/>
        <w:gridCol w:w="2496"/>
        <w:gridCol w:w="2496"/>
        <w:gridCol w:w="2496"/>
        <w:gridCol w:w="2484"/>
      </w:tblGrid>
      <w:tr w:rsidR="00D844FA" w:rsidRPr="00DE692F" w14:paraId="74CEF424" w14:textId="77777777" w:rsidTr="00AE3C9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50" w:type="pct"/>
            <w:vMerge w:val="restart"/>
            <w:tcBorders>
              <w:top w:val="single" w:sz="4" w:space="0" w:color="auto"/>
              <w:left w:val="single" w:sz="4" w:space="0" w:color="auto"/>
              <w:right w:val="single" w:sz="4" w:space="0" w:color="auto"/>
            </w:tcBorders>
          </w:tcPr>
          <w:p w14:paraId="55525A0F" w14:textId="28A1736F" w:rsidR="00D844FA" w:rsidRPr="00DE692F" w:rsidRDefault="00D844FA" w:rsidP="00AE3C90">
            <w:pPr>
              <w:spacing w:line="276" w:lineRule="auto"/>
              <w:jc w:val="center"/>
              <w:rPr>
                <w:rFonts w:eastAsiaTheme="minorEastAsia"/>
                <w:b w:val="0"/>
                <w:bCs w:val="0"/>
              </w:rPr>
            </w:pPr>
            <w:r w:rsidRPr="00DE692F">
              <w:rPr>
                <w:rFonts w:eastAsiaTheme="minorEastAsia"/>
              </w:rPr>
              <w:t>Impact</w:t>
            </w:r>
            <w:r w:rsidR="007908FB" w:rsidRPr="00DE692F">
              <w:rPr>
                <w:rFonts w:eastAsiaTheme="minorEastAsia"/>
              </w:rPr>
              <w:t>o</w:t>
            </w:r>
          </w:p>
        </w:tc>
        <w:tc>
          <w:tcPr>
            <w:tcW w:w="810"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5355E211" w14:textId="77777777" w:rsidR="00D844FA" w:rsidRPr="00DE692F"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Limitado</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20CE803E" w14:textId="77777777" w:rsidR="00D844FA" w:rsidRPr="00DE692F"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Bajo</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2D1A8ABD" w14:textId="77777777" w:rsidR="00D844FA" w:rsidRPr="00DE692F"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Moderado</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6E4941AF" w14:textId="77777777" w:rsidR="00D844FA" w:rsidRPr="00DE692F"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Alto</w:t>
            </w:r>
          </w:p>
        </w:tc>
        <w:tc>
          <w:tcPr>
            <w:tcW w:w="808"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0B69CC4A" w14:textId="77777777" w:rsidR="00D844FA" w:rsidRPr="00DE692F"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Extremo</w:t>
            </w:r>
          </w:p>
        </w:tc>
      </w:tr>
      <w:tr w:rsidR="00D844FA" w:rsidRPr="00DE692F" w14:paraId="361046B1" w14:textId="77777777" w:rsidTr="00AE3C90">
        <w:trPr>
          <w:trHeight w:val="340"/>
        </w:trPr>
        <w:tc>
          <w:tcPr>
            <w:cnfStyle w:val="001000000000" w:firstRow="0" w:lastRow="0" w:firstColumn="1" w:lastColumn="0" w:oddVBand="0" w:evenVBand="0" w:oddHBand="0" w:evenHBand="0" w:firstRowFirstColumn="0" w:firstRowLastColumn="0" w:lastRowFirstColumn="0" w:lastRowLastColumn="0"/>
            <w:tcW w:w="950" w:type="pct"/>
            <w:vMerge/>
            <w:tcBorders>
              <w:left w:val="single" w:sz="4" w:space="0" w:color="auto"/>
              <w:bottom w:val="single" w:sz="4" w:space="0" w:color="auto"/>
              <w:right w:val="single" w:sz="4" w:space="0" w:color="auto"/>
            </w:tcBorders>
          </w:tcPr>
          <w:p w14:paraId="4279114C" w14:textId="77777777" w:rsidR="00D844FA" w:rsidRPr="00DE692F" w:rsidRDefault="00D844FA" w:rsidP="00AE3C90">
            <w:pPr>
              <w:spacing w:line="276" w:lineRule="auto"/>
            </w:pPr>
          </w:p>
        </w:tc>
        <w:tc>
          <w:tcPr>
            <w:tcW w:w="810"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9997324" w14:textId="77777777" w:rsidR="00D844FA" w:rsidRPr="00DE692F"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1</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4EE30072" w14:textId="77777777" w:rsidR="00D844FA" w:rsidRPr="00DE692F"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2</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595037B" w14:textId="77777777" w:rsidR="00D844FA" w:rsidRPr="00DE692F"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3</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0B37F5D" w14:textId="77777777" w:rsidR="00D844FA" w:rsidRPr="00DE692F"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4</w:t>
            </w:r>
          </w:p>
        </w:tc>
        <w:tc>
          <w:tcPr>
            <w:tcW w:w="808"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12A1264" w14:textId="77777777" w:rsidR="00D844FA" w:rsidRPr="00DE692F"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0DE692F">
              <w:rPr>
                <w:rFonts w:eastAsiaTheme="minorEastAsia"/>
                <w:b/>
                <w:bCs/>
                <w:sz w:val="16"/>
                <w:szCs w:val="16"/>
              </w:rPr>
              <w:t>5</w:t>
            </w:r>
          </w:p>
        </w:tc>
      </w:tr>
      <w:tr w:rsidR="00D844FA" w:rsidRPr="00DE692F" w14:paraId="424F6B55" w14:textId="77777777" w:rsidTr="00AE3C90">
        <w:tc>
          <w:tcPr>
            <w:cnfStyle w:val="001000000000" w:firstRow="0" w:lastRow="0" w:firstColumn="1" w:lastColumn="0" w:oddVBand="0" w:evenVBand="0" w:oddHBand="0" w:evenHBand="0" w:firstRowFirstColumn="0" w:firstRowLastColumn="0" w:lastRowFirstColumn="0" w:lastRowLastColumn="0"/>
            <w:tcW w:w="95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74CF44" w14:textId="77777777" w:rsidR="00D844FA" w:rsidRPr="00DE692F" w:rsidRDefault="00D844FA" w:rsidP="00AE3C90">
            <w:pPr>
              <w:spacing w:line="276" w:lineRule="auto"/>
              <w:ind w:left="170" w:right="170"/>
              <w:jc w:val="center"/>
              <w:rPr>
                <w:rFonts w:eastAsiaTheme="minorEastAsia"/>
                <w:sz w:val="16"/>
                <w:szCs w:val="16"/>
              </w:rPr>
            </w:pPr>
            <w:r w:rsidRPr="00DE692F">
              <w:rPr>
                <w:rFonts w:eastAsiaTheme="minorEastAsia"/>
                <w:sz w:val="16"/>
                <w:szCs w:val="16"/>
              </w:rPr>
              <w:t xml:space="preserve">Descripción </w:t>
            </w:r>
          </w:p>
          <w:p w14:paraId="01402AD0" w14:textId="77777777" w:rsidR="00D844FA" w:rsidRPr="00DE692F" w:rsidRDefault="00D844FA" w:rsidP="00AE3C90">
            <w:pPr>
              <w:spacing w:line="276" w:lineRule="auto"/>
              <w:ind w:left="170" w:right="170"/>
              <w:jc w:val="center"/>
              <w:rPr>
                <w:rFonts w:eastAsiaTheme="minorEastAsia"/>
                <w:sz w:val="16"/>
                <w:szCs w:val="16"/>
              </w:rPr>
            </w:pPr>
            <w:r w:rsidRPr="00DE692F">
              <w:rPr>
                <w:rFonts w:eastAsiaTheme="minorEastAsia"/>
                <w:sz w:val="16"/>
                <w:szCs w:val="16"/>
              </w:rPr>
              <w:t>("Si el riesgo se materializa…")</w:t>
            </w:r>
          </w:p>
        </w:tc>
        <w:tc>
          <w:tcPr>
            <w:tcW w:w="810" w:type="pct"/>
            <w:tcBorders>
              <w:top w:val="single" w:sz="4" w:space="0" w:color="auto"/>
              <w:left w:val="single" w:sz="4" w:space="0" w:color="auto"/>
              <w:bottom w:val="single" w:sz="4" w:space="0" w:color="auto"/>
              <w:right w:val="single" w:sz="4" w:space="0" w:color="auto"/>
            </w:tcBorders>
            <w:vAlign w:val="center"/>
          </w:tcPr>
          <w:p w14:paraId="15B72F81" w14:textId="77777777" w:rsidR="00D844FA" w:rsidRPr="00DE692F"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t xml:space="preserve">Impacto insignificante o nulo en los resultados del proyecto, positivos o negativos. Insignificante o nulo impacto </w:t>
            </w:r>
            <w:r w:rsidRPr="00DE692F">
              <w:rPr>
                <w:rFonts w:eastAsiaTheme="minorEastAsia"/>
                <w:sz w:val="16"/>
                <w:szCs w:val="16"/>
              </w:rPr>
              <w:lastRenderedPageBreak/>
              <w:t>potencial adverso sobre las personas y/o el medio ambiente.</w:t>
            </w:r>
          </w:p>
        </w:tc>
        <w:tc>
          <w:tcPr>
            <w:tcW w:w="811" w:type="pct"/>
            <w:tcBorders>
              <w:top w:val="single" w:sz="4" w:space="0" w:color="auto"/>
              <w:left w:val="single" w:sz="4" w:space="0" w:color="auto"/>
              <w:bottom w:val="single" w:sz="4" w:space="0" w:color="auto"/>
              <w:right w:val="single" w:sz="4" w:space="0" w:color="auto"/>
            </w:tcBorders>
            <w:vAlign w:val="center"/>
          </w:tcPr>
          <w:p w14:paraId="2FA61559" w14:textId="77777777" w:rsidR="00D844FA" w:rsidRPr="00DE692F"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lastRenderedPageBreak/>
              <w:t xml:space="preserve">5-20 % de los resultados aplicables y previstos afectados, positiva o negativamente. Impactos </w:t>
            </w:r>
            <w:r w:rsidRPr="00DE692F">
              <w:rPr>
                <w:rFonts w:eastAsiaTheme="minorEastAsia"/>
                <w:sz w:val="16"/>
                <w:szCs w:val="16"/>
              </w:rPr>
              <w:lastRenderedPageBreak/>
              <w:t>adversos potenciales sobre las personas y/o el medio ambiente muy limitados y fáciles de gestionar.</w:t>
            </w:r>
          </w:p>
        </w:tc>
        <w:tc>
          <w:tcPr>
            <w:tcW w:w="811" w:type="pct"/>
            <w:tcBorders>
              <w:top w:val="single" w:sz="4" w:space="0" w:color="auto"/>
              <w:left w:val="single" w:sz="4" w:space="0" w:color="auto"/>
              <w:bottom w:val="single" w:sz="4" w:space="0" w:color="auto"/>
              <w:right w:val="single" w:sz="4" w:space="0" w:color="auto"/>
            </w:tcBorders>
            <w:vAlign w:val="center"/>
          </w:tcPr>
          <w:p w14:paraId="118DC021" w14:textId="77777777" w:rsidR="00D844FA" w:rsidRPr="00DE692F"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lastRenderedPageBreak/>
              <w:t xml:space="preserve">20-30% de los resultados aplicables y previstos afectados positiva o negativamente. Impactos adversos potenciales </w:t>
            </w:r>
            <w:r w:rsidRPr="00DE692F">
              <w:rPr>
                <w:rFonts w:eastAsiaTheme="minorEastAsia"/>
                <w:sz w:val="16"/>
                <w:szCs w:val="16"/>
              </w:rPr>
              <w:lastRenderedPageBreak/>
              <w:t>sobre las personas y/o el medio ambiente de baja magnitud, limitados en escala y duración, que pueden evitarse, gestionarse o mitigarse con medidas aceptadas.</w:t>
            </w:r>
          </w:p>
        </w:tc>
        <w:tc>
          <w:tcPr>
            <w:tcW w:w="811" w:type="pct"/>
            <w:tcBorders>
              <w:top w:val="single" w:sz="4" w:space="0" w:color="auto"/>
              <w:left w:val="single" w:sz="4" w:space="0" w:color="auto"/>
              <w:bottom w:val="single" w:sz="4" w:space="0" w:color="auto"/>
              <w:right w:val="single" w:sz="4" w:space="0" w:color="auto"/>
            </w:tcBorders>
            <w:vAlign w:val="center"/>
          </w:tcPr>
          <w:p w14:paraId="06106415" w14:textId="77777777" w:rsidR="00D844FA" w:rsidRPr="00DE692F"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lastRenderedPageBreak/>
              <w:t xml:space="preserve">30-50% de los resultados/productos aplicables y previstos afectados positiva o negativamente. Impactos </w:t>
            </w:r>
            <w:r w:rsidRPr="00DE692F">
              <w:rPr>
                <w:rFonts w:eastAsiaTheme="minorEastAsia"/>
                <w:sz w:val="16"/>
                <w:szCs w:val="16"/>
              </w:rPr>
              <w:lastRenderedPageBreak/>
              <w:t>adversos potenciales sobre las personas y/o el medio ambiente de magnitud, extensión espacial y duración medias o grandes.</w:t>
            </w:r>
          </w:p>
        </w:tc>
        <w:tc>
          <w:tcPr>
            <w:tcW w:w="808" w:type="pct"/>
            <w:tcBorders>
              <w:top w:val="single" w:sz="4" w:space="0" w:color="auto"/>
              <w:left w:val="single" w:sz="4" w:space="0" w:color="auto"/>
              <w:bottom w:val="single" w:sz="4" w:space="0" w:color="auto"/>
              <w:right w:val="single" w:sz="4" w:space="0" w:color="auto"/>
            </w:tcBorders>
            <w:vAlign w:val="center"/>
          </w:tcPr>
          <w:p w14:paraId="3DDC2A4C" w14:textId="77777777" w:rsidR="00D844FA" w:rsidRPr="00DE692F"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rPr>
            </w:pPr>
            <w:r w:rsidRPr="00DE692F">
              <w:rPr>
                <w:rFonts w:eastAsiaTheme="minorEastAsia"/>
                <w:sz w:val="16"/>
                <w:szCs w:val="16"/>
              </w:rPr>
              <w:lastRenderedPageBreak/>
              <w:t xml:space="preserve">Más del 50% de los resultados/productos aplicables y previstos afectados positiva o negativamente. Impactos </w:t>
            </w:r>
            <w:r w:rsidRPr="00DE692F">
              <w:rPr>
                <w:rFonts w:eastAsiaTheme="minorEastAsia"/>
                <w:sz w:val="16"/>
                <w:szCs w:val="16"/>
              </w:rPr>
              <w:lastRenderedPageBreak/>
              <w:t>adversos sobre las personas y/o el medio ambiente de gran magnitud, extensión espacial y/o duración.</w:t>
            </w:r>
          </w:p>
        </w:tc>
      </w:tr>
    </w:tbl>
    <w:p w14:paraId="7EDF80FA" w14:textId="186D39EA" w:rsidR="00151131" w:rsidRPr="00DE692F" w:rsidRDefault="00151131" w:rsidP="001B19B3">
      <w:pPr>
        <w:tabs>
          <w:tab w:val="left" w:pos="4680"/>
        </w:tabs>
        <w:ind w:left="360"/>
        <w:rPr>
          <w:rFonts w:asciiTheme="minorHAnsi" w:eastAsia="Calibri" w:hAnsiTheme="minorHAnsi" w:cstheme="minorHAnsi"/>
          <w:b/>
          <w:bCs/>
          <w:sz w:val="20"/>
          <w:szCs w:val="20"/>
        </w:rPr>
      </w:pPr>
    </w:p>
    <w:p w14:paraId="555602B9" w14:textId="77777777" w:rsidR="005E07F5" w:rsidRPr="00DE692F" w:rsidRDefault="005E07F5" w:rsidP="001B19B3">
      <w:pPr>
        <w:tabs>
          <w:tab w:val="left" w:pos="4680"/>
        </w:tabs>
        <w:ind w:left="360"/>
        <w:rPr>
          <w:rFonts w:asciiTheme="minorHAnsi" w:eastAsia="Calibri" w:hAnsiTheme="minorHAnsi" w:cstheme="minorHAnsi"/>
          <w:b/>
          <w:bCs/>
          <w:sz w:val="20"/>
          <w:szCs w:val="20"/>
        </w:rPr>
      </w:pPr>
    </w:p>
    <w:p w14:paraId="7F3D3E3C" w14:textId="13408C47" w:rsidR="5B288CFB" w:rsidRPr="00DE692F" w:rsidRDefault="78958753" w:rsidP="005175FC">
      <w:pPr>
        <w:pStyle w:val="Prrafodelista"/>
        <w:numPr>
          <w:ilvl w:val="0"/>
          <w:numId w:val="21"/>
        </w:numPr>
        <w:tabs>
          <w:tab w:val="left" w:pos="4680"/>
        </w:tabs>
        <w:rPr>
          <w:rFonts w:asciiTheme="minorHAnsi" w:hAnsiTheme="minorHAnsi" w:cstheme="minorBidi"/>
          <w:b/>
          <w:bCs/>
          <w:sz w:val="20"/>
          <w:szCs w:val="20"/>
        </w:rPr>
      </w:pPr>
      <w:r w:rsidRPr="00DE692F">
        <w:rPr>
          <w:rFonts w:asciiTheme="minorHAnsi" w:eastAsiaTheme="minorEastAsia" w:hAnsiTheme="minorHAnsi" w:cstheme="minorBidi"/>
          <w:b/>
          <w:bCs/>
          <w:sz w:val="20"/>
          <w:szCs w:val="20"/>
        </w:rPr>
        <w:t>EVIDENCIAS</w:t>
      </w:r>
    </w:p>
    <w:tbl>
      <w:tblPr>
        <w:tblStyle w:val="Tablaconcuadrcula"/>
        <w:tblW w:w="14868" w:type="dxa"/>
        <w:tblInd w:w="720" w:type="dxa"/>
        <w:tblLayout w:type="fixed"/>
        <w:tblLook w:val="06A0" w:firstRow="1" w:lastRow="0" w:firstColumn="1" w:lastColumn="0" w:noHBand="1" w:noVBand="1"/>
      </w:tblPr>
      <w:tblGrid>
        <w:gridCol w:w="551"/>
        <w:gridCol w:w="5103"/>
        <w:gridCol w:w="4808"/>
        <w:gridCol w:w="4406"/>
      </w:tblGrid>
      <w:tr w:rsidR="10068F2D" w:rsidRPr="00DE692F" w14:paraId="4D169A8F" w14:textId="77777777" w:rsidTr="00F157BA">
        <w:trPr>
          <w:trHeight w:val="300"/>
          <w:tblHeader/>
        </w:trPr>
        <w:tc>
          <w:tcPr>
            <w:tcW w:w="551" w:type="dxa"/>
            <w:shd w:val="clear" w:color="auto" w:fill="000000" w:themeFill="text1"/>
            <w:vAlign w:val="center"/>
          </w:tcPr>
          <w:p w14:paraId="1F128FCF" w14:textId="62557BF5" w:rsidR="5D2EC2ED" w:rsidRPr="00DE692F" w:rsidRDefault="006A7650" w:rsidP="0E949999">
            <w:pPr>
              <w:jc w:val="center"/>
              <w:rPr>
                <w:rFonts w:cs="Arial"/>
                <w:b/>
                <w:bCs/>
                <w:color w:val="FFFFFF" w:themeColor="background1"/>
                <w:sz w:val="20"/>
                <w:szCs w:val="20"/>
              </w:rPr>
            </w:pPr>
            <w:r w:rsidRPr="00DE692F">
              <w:rPr>
                <w:rFonts w:cs="Arial"/>
                <w:b/>
                <w:bCs/>
                <w:color w:val="FFFFFF" w:themeColor="background1"/>
                <w:sz w:val="20"/>
                <w:szCs w:val="20"/>
              </w:rPr>
              <w:t>Nº</w:t>
            </w:r>
          </w:p>
        </w:tc>
        <w:tc>
          <w:tcPr>
            <w:tcW w:w="5103" w:type="dxa"/>
            <w:shd w:val="clear" w:color="auto" w:fill="000000" w:themeFill="text1"/>
            <w:vAlign w:val="center"/>
          </w:tcPr>
          <w:p w14:paraId="5741BAE3" w14:textId="781AE1E1" w:rsidR="5D2EC2ED" w:rsidRPr="00DE692F" w:rsidRDefault="006A7650" w:rsidP="0E949999">
            <w:pPr>
              <w:jc w:val="center"/>
              <w:rPr>
                <w:rFonts w:cs="Arial"/>
                <w:b/>
                <w:bCs/>
                <w:color w:val="FFFFFF" w:themeColor="background1"/>
                <w:sz w:val="20"/>
                <w:szCs w:val="20"/>
              </w:rPr>
            </w:pPr>
            <w:r w:rsidRPr="00DE692F">
              <w:rPr>
                <w:rFonts w:cs="Arial"/>
                <w:b/>
                <w:bCs/>
                <w:color w:val="FFFFFF" w:themeColor="background1"/>
                <w:sz w:val="20"/>
                <w:szCs w:val="20"/>
              </w:rPr>
              <w:t>Resultado y/o producto logrado</w:t>
            </w:r>
          </w:p>
        </w:tc>
        <w:tc>
          <w:tcPr>
            <w:tcW w:w="4808" w:type="dxa"/>
            <w:shd w:val="clear" w:color="auto" w:fill="000000" w:themeFill="text1"/>
            <w:vAlign w:val="center"/>
          </w:tcPr>
          <w:p w14:paraId="1AEF18F3" w14:textId="51EACFCD" w:rsidR="5D2EC2ED" w:rsidRPr="00DE692F" w:rsidRDefault="006A7650" w:rsidP="0E949999">
            <w:pPr>
              <w:jc w:val="center"/>
              <w:rPr>
                <w:rFonts w:cs="Arial"/>
                <w:b/>
                <w:bCs/>
                <w:color w:val="FFFFFF" w:themeColor="background1"/>
                <w:sz w:val="20"/>
                <w:szCs w:val="20"/>
              </w:rPr>
            </w:pPr>
            <w:r w:rsidRPr="00DE692F">
              <w:rPr>
                <w:rFonts w:cs="Arial"/>
                <w:b/>
                <w:bCs/>
                <w:color w:val="FFFFFF" w:themeColor="background1"/>
                <w:sz w:val="20"/>
                <w:szCs w:val="20"/>
              </w:rPr>
              <w:t>Título de la evidencia</w:t>
            </w:r>
          </w:p>
        </w:tc>
        <w:tc>
          <w:tcPr>
            <w:tcW w:w="4406" w:type="dxa"/>
            <w:shd w:val="clear" w:color="auto" w:fill="000000" w:themeFill="text1"/>
            <w:vAlign w:val="center"/>
          </w:tcPr>
          <w:p w14:paraId="5FD8A43E" w14:textId="4DDE07F5" w:rsidR="5D2EC2ED" w:rsidRPr="00DE692F" w:rsidRDefault="006A7650" w:rsidP="0E949999">
            <w:pPr>
              <w:jc w:val="center"/>
              <w:rPr>
                <w:rFonts w:cs="Arial"/>
                <w:b/>
                <w:bCs/>
                <w:color w:val="FFFFFF" w:themeColor="background1"/>
                <w:sz w:val="20"/>
                <w:szCs w:val="20"/>
              </w:rPr>
            </w:pPr>
            <w:r w:rsidRPr="00DE692F">
              <w:rPr>
                <w:rFonts w:cs="Arial"/>
                <w:b/>
                <w:bCs/>
                <w:color w:val="FFFFFF" w:themeColor="background1"/>
                <w:sz w:val="20"/>
                <w:szCs w:val="20"/>
              </w:rPr>
              <w:t>Link de la evidencia</w:t>
            </w:r>
          </w:p>
        </w:tc>
      </w:tr>
      <w:tr w:rsidR="00B640EB" w:rsidRPr="00DE692F" w14:paraId="50741D42" w14:textId="77777777" w:rsidTr="00A30651">
        <w:trPr>
          <w:trHeight w:val="300"/>
        </w:trPr>
        <w:tc>
          <w:tcPr>
            <w:tcW w:w="14868" w:type="dxa"/>
            <w:gridSpan w:val="4"/>
            <w:vAlign w:val="center"/>
          </w:tcPr>
          <w:p w14:paraId="38825E65" w14:textId="511C2874" w:rsidR="00B640EB" w:rsidRPr="00DE692F" w:rsidRDefault="0035315A" w:rsidP="10068F2D">
            <w:pPr>
              <w:rPr>
                <w:rFonts w:cs="Arial"/>
                <w:b/>
                <w:bCs/>
                <w:color w:val="000000" w:themeColor="text1"/>
                <w:sz w:val="20"/>
                <w:szCs w:val="20"/>
              </w:rPr>
            </w:pPr>
            <w:r w:rsidRPr="00DE692F">
              <w:rPr>
                <w:rFonts w:cs="Arial"/>
                <w:b/>
                <w:bCs/>
                <w:color w:val="000000" w:themeColor="text1"/>
                <w:sz w:val="20"/>
                <w:szCs w:val="20"/>
              </w:rPr>
              <w:t>OBJETIVOS DEL PROYECTO</w:t>
            </w:r>
          </w:p>
        </w:tc>
      </w:tr>
      <w:tr w:rsidR="00B640EB" w:rsidRPr="00DE692F" w14:paraId="50C36BD7" w14:textId="77777777" w:rsidTr="00A30651">
        <w:trPr>
          <w:trHeight w:val="300"/>
        </w:trPr>
        <w:tc>
          <w:tcPr>
            <w:tcW w:w="551" w:type="dxa"/>
            <w:vAlign w:val="center"/>
          </w:tcPr>
          <w:p w14:paraId="741E3EC4" w14:textId="77777777" w:rsidR="00B640EB" w:rsidRPr="00DE692F" w:rsidRDefault="00B640EB" w:rsidP="00F157BA">
            <w:pPr>
              <w:pStyle w:val="Prrafodelista"/>
              <w:numPr>
                <w:ilvl w:val="0"/>
                <w:numId w:val="27"/>
              </w:numPr>
              <w:rPr>
                <w:rFonts w:ascii="Arial" w:hAnsi="Arial" w:cs="Arial"/>
                <w:color w:val="000000" w:themeColor="text1"/>
                <w:sz w:val="20"/>
                <w:szCs w:val="20"/>
              </w:rPr>
            </w:pPr>
          </w:p>
        </w:tc>
        <w:tc>
          <w:tcPr>
            <w:tcW w:w="5103" w:type="dxa"/>
            <w:vAlign w:val="center"/>
          </w:tcPr>
          <w:p w14:paraId="475ADDC3" w14:textId="4A1D4EAD" w:rsidR="00B640EB" w:rsidRPr="00DE692F" w:rsidRDefault="0035315A" w:rsidP="10068F2D">
            <w:pPr>
              <w:rPr>
                <w:rFonts w:cs="Arial"/>
                <w:color w:val="000000" w:themeColor="text1"/>
                <w:sz w:val="20"/>
                <w:szCs w:val="20"/>
              </w:rPr>
            </w:pPr>
            <w:r w:rsidRPr="00DE692F">
              <w:rPr>
                <w:rFonts w:cs="Arial"/>
                <w:color w:val="000000" w:themeColor="text1"/>
                <w:sz w:val="20"/>
                <w:szCs w:val="20"/>
              </w:rPr>
              <w:t>Indicador 1: beneficiarios directos del proyecto desglosados por género. (indicador básico 11 del GEF).</w:t>
            </w:r>
          </w:p>
        </w:tc>
        <w:tc>
          <w:tcPr>
            <w:tcW w:w="4808" w:type="dxa"/>
            <w:vAlign w:val="center"/>
          </w:tcPr>
          <w:p w14:paraId="03FA65B9" w14:textId="28709666" w:rsidR="00B640EB" w:rsidRPr="00DE692F" w:rsidRDefault="0035315A" w:rsidP="10068F2D">
            <w:pPr>
              <w:rPr>
                <w:rFonts w:cs="Arial"/>
                <w:color w:val="000000" w:themeColor="text1"/>
                <w:sz w:val="20"/>
                <w:szCs w:val="20"/>
              </w:rPr>
            </w:pPr>
            <w:r w:rsidRPr="00DE692F">
              <w:rPr>
                <w:rFonts w:cs="Arial"/>
                <w:color w:val="000000" w:themeColor="text1"/>
                <w:sz w:val="20"/>
                <w:szCs w:val="20"/>
              </w:rPr>
              <w:t>Listas de asistencia</w:t>
            </w:r>
          </w:p>
        </w:tc>
        <w:tc>
          <w:tcPr>
            <w:tcW w:w="4406" w:type="dxa"/>
            <w:vAlign w:val="center"/>
          </w:tcPr>
          <w:p w14:paraId="381D228E" w14:textId="1866CECE" w:rsidR="00B640EB" w:rsidRPr="00DE692F" w:rsidRDefault="00CD3D56" w:rsidP="10068F2D">
            <w:pPr>
              <w:rPr>
                <w:rFonts w:cs="Arial"/>
                <w:color w:val="000000" w:themeColor="text1"/>
                <w:sz w:val="20"/>
                <w:szCs w:val="20"/>
              </w:rPr>
            </w:pPr>
            <w:hyperlink r:id="rId18" w:history="1">
              <w:r w:rsidRPr="00DE692F">
                <w:rPr>
                  <w:rStyle w:val="Hipervnculo"/>
                  <w:rFonts w:cs="Arial"/>
                  <w:sz w:val="20"/>
                  <w:szCs w:val="20"/>
                </w:rPr>
                <w:t>https://drive.google.com/drive/folders/15FfTIaBMPWgo3bBxlWrABBAX-21zep9x?usp=sharing</w:t>
              </w:r>
            </w:hyperlink>
            <w:r w:rsidRPr="00DE692F">
              <w:rPr>
                <w:rFonts w:cs="Arial"/>
                <w:color w:val="000000" w:themeColor="text1"/>
                <w:sz w:val="20"/>
                <w:szCs w:val="20"/>
              </w:rPr>
              <w:t xml:space="preserve"> </w:t>
            </w:r>
          </w:p>
        </w:tc>
      </w:tr>
      <w:tr w:rsidR="00133BA9" w:rsidRPr="00DE692F" w14:paraId="5F598BF6" w14:textId="77777777" w:rsidTr="00A30651">
        <w:trPr>
          <w:trHeight w:val="300"/>
        </w:trPr>
        <w:tc>
          <w:tcPr>
            <w:tcW w:w="551" w:type="dxa"/>
            <w:vAlign w:val="center"/>
          </w:tcPr>
          <w:p w14:paraId="09711B4E" w14:textId="77777777" w:rsidR="00133BA9" w:rsidRPr="00DE692F" w:rsidRDefault="00133BA9" w:rsidP="00F157BA">
            <w:pPr>
              <w:pStyle w:val="Prrafodelista"/>
              <w:numPr>
                <w:ilvl w:val="0"/>
                <w:numId w:val="27"/>
              </w:numPr>
              <w:rPr>
                <w:rFonts w:ascii="Arial" w:hAnsi="Arial" w:cs="Arial"/>
                <w:color w:val="000000" w:themeColor="text1"/>
                <w:sz w:val="20"/>
                <w:szCs w:val="20"/>
              </w:rPr>
            </w:pPr>
          </w:p>
        </w:tc>
        <w:tc>
          <w:tcPr>
            <w:tcW w:w="5103" w:type="dxa"/>
            <w:vAlign w:val="center"/>
          </w:tcPr>
          <w:p w14:paraId="099E7BF9" w14:textId="516451D3" w:rsidR="00133BA9" w:rsidRPr="00133BA9" w:rsidRDefault="00133BA9" w:rsidP="00133BA9">
            <w:pPr>
              <w:rPr>
                <w:rFonts w:cs="Arial"/>
                <w:color w:val="000000" w:themeColor="text1"/>
                <w:sz w:val="20"/>
                <w:szCs w:val="20"/>
              </w:rPr>
            </w:pPr>
            <w:r w:rsidRPr="00133BA9">
              <w:rPr>
                <w:rFonts w:cs="Arial"/>
                <w:color w:val="000000" w:themeColor="text1"/>
                <w:sz w:val="20"/>
                <w:szCs w:val="20"/>
              </w:rPr>
              <w:t>Indicador 2: Tierras restauradas (TR) (Indicador básico 3 del GEF)</w:t>
            </w:r>
          </w:p>
          <w:p w14:paraId="2006A6F2" w14:textId="77777777" w:rsidR="00133BA9" w:rsidRPr="00133BA9" w:rsidRDefault="00133BA9" w:rsidP="00133BA9">
            <w:pPr>
              <w:rPr>
                <w:rFonts w:cs="Arial"/>
                <w:color w:val="000000" w:themeColor="text1"/>
                <w:sz w:val="20"/>
                <w:szCs w:val="20"/>
              </w:rPr>
            </w:pPr>
            <w:r w:rsidRPr="00133BA9">
              <w:rPr>
                <w:rFonts w:cs="Arial"/>
                <w:color w:val="000000" w:themeColor="text1"/>
                <w:sz w:val="20"/>
                <w:szCs w:val="20"/>
              </w:rPr>
              <w:t>Sub indicador básico del GEF 3.1:  Área de tierra agrícola degradada restaurada</w:t>
            </w:r>
          </w:p>
          <w:p w14:paraId="53312879" w14:textId="2C804F06" w:rsidR="00133BA9" w:rsidRPr="00DE692F" w:rsidRDefault="00133BA9" w:rsidP="00133BA9">
            <w:pPr>
              <w:rPr>
                <w:rFonts w:cs="Arial"/>
                <w:color w:val="000000" w:themeColor="text1"/>
                <w:sz w:val="20"/>
                <w:szCs w:val="20"/>
              </w:rPr>
            </w:pPr>
            <w:r w:rsidRPr="00133BA9">
              <w:rPr>
                <w:rFonts w:cs="Arial"/>
                <w:color w:val="000000" w:themeColor="text1"/>
                <w:sz w:val="20"/>
                <w:szCs w:val="20"/>
              </w:rPr>
              <w:t>Sub indicador básico del GEF 3.2: Superficie de bosques y terrenos forestales restaurados.</w:t>
            </w:r>
          </w:p>
        </w:tc>
        <w:tc>
          <w:tcPr>
            <w:tcW w:w="4808" w:type="dxa"/>
            <w:vAlign w:val="center"/>
          </w:tcPr>
          <w:p w14:paraId="1FEA8496" w14:textId="20F211FA" w:rsidR="00133BA9" w:rsidRPr="00DE692F" w:rsidRDefault="00133BA9" w:rsidP="10068F2D">
            <w:pPr>
              <w:rPr>
                <w:rFonts w:cs="Arial"/>
                <w:color w:val="000000" w:themeColor="text1"/>
                <w:sz w:val="20"/>
                <w:szCs w:val="20"/>
              </w:rPr>
            </w:pPr>
            <w:r>
              <w:rPr>
                <w:rFonts w:cs="Arial"/>
                <w:color w:val="000000" w:themeColor="text1"/>
                <w:sz w:val="20"/>
                <w:szCs w:val="20"/>
              </w:rPr>
              <w:t>Informe de restauración y mapa</w:t>
            </w:r>
          </w:p>
        </w:tc>
        <w:tc>
          <w:tcPr>
            <w:tcW w:w="4406" w:type="dxa"/>
            <w:vAlign w:val="center"/>
          </w:tcPr>
          <w:p w14:paraId="02ED2964" w14:textId="1E69D5A7" w:rsidR="00133BA9" w:rsidRDefault="00133BA9" w:rsidP="10068F2D">
            <w:hyperlink r:id="rId19" w:history="1">
              <w:r w:rsidRPr="00133BA9">
                <w:rPr>
                  <w:rStyle w:val="Hipervnculo"/>
                  <w:sz w:val="20"/>
                  <w:szCs w:val="22"/>
                </w:rPr>
                <w:t>https://drive.google.com/drive/folders/1vT9S4qtUly2dbJghApdJcUusDrxUPzhE?usp=sharing</w:t>
              </w:r>
            </w:hyperlink>
            <w:r w:rsidRPr="00133BA9">
              <w:rPr>
                <w:sz w:val="20"/>
                <w:szCs w:val="22"/>
              </w:rPr>
              <w:t xml:space="preserve"> </w:t>
            </w:r>
          </w:p>
        </w:tc>
      </w:tr>
      <w:tr w:rsidR="10068F2D" w:rsidRPr="00DE692F" w14:paraId="53238B9C" w14:textId="77777777" w:rsidTr="00A30651">
        <w:trPr>
          <w:trHeight w:val="300"/>
        </w:trPr>
        <w:tc>
          <w:tcPr>
            <w:tcW w:w="551" w:type="dxa"/>
            <w:vAlign w:val="center"/>
          </w:tcPr>
          <w:p w14:paraId="5943E340" w14:textId="39C2135F" w:rsidR="10068F2D" w:rsidRPr="00DE692F" w:rsidRDefault="10068F2D" w:rsidP="00F157BA">
            <w:pPr>
              <w:pStyle w:val="Prrafodelista"/>
              <w:numPr>
                <w:ilvl w:val="0"/>
                <w:numId w:val="27"/>
              </w:numPr>
              <w:rPr>
                <w:rFonts w:ascii="Arial" w:hAnsi="Arial" w:cs="Arial"/>
                <w:color w:val="000000" w:themeColor="text1"/>
                <w:sz w:val="20"/>
                <w:szCs w:val="20"/>
              </w:rPr>
            </w:pPr>
          </w:p>
        </w:tc>
        <w:tc>
          <w:tcPr>
            <w:tcW w:w="5103" w:type="dxa"/>
            <w:vAlign w:val="center"/>
          </w:tcPr>
          <w:p w14:paraId="4D524D2F" w14:textId="77777777" w:rsidR="0035315A" w:rsidRPr="00DE692F" w:rsidRDefault="0035315A" w:rsidP="0035315A">
            <w:pPr>
              <w:rPr>
                <w:rFonts w:cs="Arial"/>
                <w:color w:val="000000" w:themeColor="text1"/>
                <w:sz w:val="20"/>
                <w:szCs w:val="20"/>
              </w:rPr>
            </w:pPr>
            <w:r w:rsidRPr="00DE692F">
              <w:rPr>
                <w:rFonts w:cs="Arial"/>
                <w:color w:val="000000" w:themeColor="text1"/>
                <w:sz w:val="20"/>
                <w:szCs w:val="20"/>
              </w:rPr>
              <w:t>Indicador 3: Área de paisajes bajo prácticas mejoradas (PBPM) (Indicador básico 4 del GEF)</w:t>
            </w:r>
          </w:p>
          <w:p w14:paraId="7103DF21" w14:textId="6967E5B4" w:rsidR="10068F2D" w:rsidRPr="00DE692F" w:rsidRDefault="0035315A" w:rsidP="0035315A">
            <w:pPr>
              <w:rPr>
                <w:rFonts w:cs="Arial"/>
                <w:color w:val="000000" w:themeColor="text1"/>
                <w:sz w:val="20"/>
                <w:szCs w:val="20"/>
              </w:rPr>
            </w:pPr>
            <w:r w:rsidRPr="00DE692F">
              <w:rPr>
                <w:rFonts w:cs="Arial"/>
                <w:color w:val="000000" w:themeColor="text1"/>
                <w:sz w:val="20"/>
                <w:szCs w:val="20"/>
              </w:rPr>
              <w:t>Sub indicador básico del GEF 4.1:  Área de paisajes bajo gestión mejorada en beneficio de la biodiversidad (evaluación cualitativa, no certificada)</w:t>
            </w:r>
          </w:p>
        </w:tc>
        <w:tc>
          <w:tcPr>
            <w:tcW w:w="4808" w:type="dxa"/>
            <w:vAlign w:val="center"/>
          </w:tcPr>
          <w:p w14:paraId="4E529906" w14:textId="77777777" w:rsidR="0077716A" w:rsidRPr="00DE692F" w:rsidRDefault="0077716A" w:rsidP="10068F2D">
            <w:pPr>
              <w:rPr>
                <w:rFonts w:cs="Arial"/>
                <w:color w:val="000000" w:themeColor="text1"/>
                <w:sz w:val="20"/>
                <w:szCs w:val="20"/>
              </w:rPr>
            </w:pPr>
            <w:r w:rsidRPr="00DE692F">
              <w:rPr>
                <w:rFonts w:cs="Arial"/>
                <w:color w:val="000000" w:themeColor="text1"/>
                <w:sz w:val="20"/>
                <w:szCs w:val="20"/>
              </w:rPr>
              <w:t>Entregables:</w:t>
            </w:r>
          </w:p>
          <w:p w14:paraId="1CBA02AB" w14:textId="77777777" w:rsidR="0077716A" w:rsidRPr="00DE692F" w:rsidRDefault="0077716A" w:rsidP="10068F2D">
            <w:pPr>
              <w:rPr>
                <w:rFonts w:cs="Arial"/>
                <w:color w:val="000000" w:themeColor="text1"/>
                <w:sz w:val="20"/>
                <w:szCs w:val="20"/>
              </w:rPr>
            </w:pPr>
          </w:p>
          <w:p w14:paraId="088E30C2" w14:textId="77777777" w:rsidR="10068F2D" w:rsidRPr="00DE692F" w:rsidRDefault="0077716A" w:rsidP="10068F2D">
            <w:pPr>
              <w:rPr>
                <w:rFonts w:cs="Arial"/>
                <w:color w:val="000000" w:themeColor="text1"/>
                <w:sz w:val="20"/>
                <w:szCs w:val="20"/>
              </w:rPr>
            </w:pPr>
            <w:r w:rsidRPr="00DE692F">
              <w:rPr>
                <w:rFonts w:cs="Arial"/>
                <w:color w:val="000000" w:themeColor="text1"/>
                <w:sz w:val="20"/>
                <w:szCs w:val="20"/>
              </w:rPr>
              <w:t>Levantamiento de polígonos de los socios de la Cooperativa Agraria Aprocassi en las provincias de San Ignacio y Jaén, en el marco del Proyecto GEF 10307 “Cadenas de valor libres de deforestación en la Amazonía peruana” (Proyecto FOLUR)</w:t>
            </w:r>
          </w:p>
          <w:p w14:paraId="79DE4A48" w14:textId="77777777" w:rsidR="0077716A" w:rsidRDefault="0077716A" w:rsidP="10068F2D">
            <w:pPr>
              <w:rPr>
                <w:rFonts w:cs="Arial"/>
                <w:color w:val="000000" w:themeColor="text1"/>
                <w:sz w:val="20"/>
                <w:szCs w:val="20"/>
              </w:rPr>
            </w:pPr>
          </w:p>
          <w:p w14:paraId="2C692108" w14:textId="0B7760B4" w:rsidR="00133BA9" w:rsidRPr="00DE692F" w:rsidRDefault="00133BA9" w:rsidP="10068F2D">
            <w:pPr>
              <w:rPr>
                <w:rFonts w:cs="Arial"/>
                <w:color w:val="000000" w:themeColor="text1"/>
                <w:sz w:val="20"/>
                <w:szCs w:val="20"/>
              </w:rPr>
            </w:pPr>
            <w:r w:rsidRPr="005E1CC4">
              <w:rPr>
                <w:rFonts w:cs="Arial"/>
                <w:color w:val="000000" w:themeColor="text1"/>
                <w:sz w:val="20"/>
                <w:szCs w:val="20"/>
              </w:rPr>
              <w:t xml:space="preserve">CCUSAF en San Ignacio </w:t>
            </w:r>
          </w:p>
        </w:tc>
        <w:tc>
          <w:tcPr>
            <w:tcW w:w="4406" w:type="dxa"/>
            <w:vAlign w:val="center"/>
          </w:tcPr>
          <w:p w14:paraId="392FF3A9" w14:textId="77777777" w:rsidR="10068F2D" w:rsidRDefault="0077716A" w:rsidP="10068F2D">
            <w:pPr>
              <w:rPr>
                <w:rFonts w:cs="Arial"/>
                <w:color w:val="000000" w:themeColor="text1"/>
                <w:sz w:val="20"/>
                <w:szCs w:val="20"/>
              </w:rPr>
            </w:pPr>
            <w:hyperlink r:id="rId20" w:history="1">
              <w:r w:rsidRPr="00DE692F">
                <w:rPr>
                  <w:rStyle w:val="Hipervnculo"/>
                  <w:rFonts w:cs="Arial"/>
                  <w:sz w:val="20"/>
                  <w:szCs w:val="20"/>
                </w:rPr>
                <w:t>https://drive.google.com/drive/folders/1rVat9gImwVSF88jpy7ZzjJby-ykr4QWj?usp=sharing</w:t>
              </w:r>
            </w:hyperlink>
            <w:r w:rsidRPr="00DE692F">
              <w:rPr>
                <w:rFonts w:cs="Arial"/>
                <w:color w:val="000000" w:themeColor="text1"/>
                <w:sz w:val="20"/>
                <w:szCs w:val="20"/>
              </w:rPr>
              <w:t xml:space="preserve"> </w:t>
            </w:r>
          </w:p>
          <w:p w14:paraId="1F0A6EB4" w14:textId="77777777" w:rsidR="005E1CC4" w:rsidRDefault="005E1CC4" w:rsidP="005E1CC4">
            <w:pPr>
              <w:spacing w:after="0"/>
              <w:rPr>
                <w:rFonts w:ascii="Calibri" w:hAnsi="Calibri" w:cs="Calibri"/>
                <w:color w:val="0563C1"/>
                <w:szCs w:val="22"/>
                <w:u w:val="single"/>
              </w:rPr>
            </w:pPr>
          </w:p>
          <w:p w14:paraId="006EF15C" w14:textId="6D63CCCB" w:rsidR="005E1CC4" w:rsidRDefault="005E1CC4" w:rsidP="005E1CC4">
            <w:pPr>
              <w:spacing w:after="0"/>
              <w:rPr>
                <w:rFonts w:ascii="Calibri" w:hAnsi="Calibri" w:cs="Calibri"/>
                <w:color w:val="0563C1"/>
                <w:szCs w:val="22"/>
                <w:u w:val="single"/>
                <w:lang w:eastAsia="es-PE"/>
              </w:rPr>
            </w:pPr>
            <w:r w:rsidRPr="005E1CC4">
              <w:rPr>
                <w:rFonts w:ascii="Calibri" w:hAnsi="Calibri" w:cs="Calibri"/>
                <w:color w:val="0563C1"/>
                <w:szCs w:val="22"/>
                <w:u w:val="single"/>
                <w:lang w:eastAsia="es-PE"/>
              </w:rPr>
              <w:t>https://drive.google.com/drive/folders/1V3V4Vqq-TYYkzhT982ZKn-HOky4HDN3F?usp=sharing</w:t>
            </w:r>
          </w:p>
          <w:p w14:paraId="21410AF9" w14:textId="55F9AA5E" w:rsidR="007F5737" w:rsidRPr="00DE692F" w:rsidRDefault="007F5737" w:rsidP="10068F2D">
            <w:pPr>
              <w:rPr>
                <w:rFonts w:cs="Arial"/>
                <w:color w:val="000000" w:themeColor="text1"/>
                <w:sz w:val="20"/>
                <w:szCs w:val="20"/>
              </w:rPr>
            </w:pPr>
          </w:p>
        </w:tc>
      </w:tr>
      <w:tr w:rsidR="00F318B5" w:rsidRPr="00DE692F" w14:paraId="1253695A" w14:textId="77777777" w:rsidTr="00A30651">
        <w:trPr>
          <w:trHeight w:val="300"/>
        </w:trPr>
        <w:tc>
          <w:tcPr>
            <w:tcW w:w="551" w:type="dxa"/>
            <w:vAlign w:val="center"/>
          </w:tcPr>
          <w:p w14:paraId="6EA030D8" w14:textId="77777777" w:rsidR="00F318B5" w:rsidRPr="00DE692F" w:rsidRDefault="00F318B5" w:rsidP="00F157BA">
            <w:pPr>
              <w:pStyle w:val="Prrafodelista"/>
              <w:numPr>
                <w:ilvl w:val="0"/>
                <w:numId w:val="27"/>
              </w:numPr>
              <w:rPr>
                <w:rFonts w:ascii="Arial" w:hAnsi="Arial" w:cs="Arial"/>
                <w:color w:val="000000" w:themeColor="text1"/>
                <w:sz w:val="20"/>
                <w:szCs w:val="20"/>
              </w:rPr>
            </w:pPr>
          </w:p>
        </w:tc>
        <w:tc>
          <w:tcPr>
            <w:tcW w:w="5103" w:type="dxa"/>
            <w:vAlign w:val="center"/>
          </w:tcPr>
          <w:p w14:paraId="127ECEE6" w14:textId="310CB33C" w:rsidR="00F318B5" w:rsidRPr="00DE692F" w:rsidRDefault="00F318B5" w:rsidP="0035315A">
            <w:pPr>
              <w:rPr>
                <w:rFonts w:cs="Arial"/>
                <w:color w:val="000000" w:themeColor="text1"/>
                <w:sz w:val="20"/>
                <w:szCs w:val="20"/>
              </w:rPr>
            </w:pPr>
            <w:r w:rsidRPr="00DE692F">
              <w:rPr>
                <w:rFonts w:cs="Arial"/>
                <w:color w:val="000000" w:themeColor="text1"/>
                <w:sz w:val="20"/>
                <w:szCs w:val="20"/>
              </w:rPr>
              <w:t>Indicador 4: Emisiones de gases de efecto invernadero mitigadas (indicador básico 6 del GEF)</w:t>
            </w:r>
          </w:p>
        </w:tc>
        <w:tc>
          <w:tcPr>
            <w:tcW w:w="4808" w:type="dxa"/>
            <w:vAlign w:val="center"/>
          </w:tcPr>
          <w:p w14:paraId="25D40DEC" w14:textId="25FA28BC" w:rsidR="00F318B5" w:rsidRPr="00DE692F" w:rsidRDefault="00F318B5" w:rsidP="10068F2D">
            <w:pPr>
              <w:rPr>
                <w:rFonts w:cs="Arial"/>
                <w:color w:val="000000" w:themeColor="text1"/>
                <w:sz w:val="20"/>
                <w:szCs w:val="20"/>
              </w:rPr>
            </w:pPr>
            <w:r w:rsidRPr="00DE692F">
              <w:rPr>
                <w:rFonts w:cs="Arial"/>
                <w:color w:val="000000" w:themeColor="text1"/>
                <w:sz w:val="20"/>
                <w:szCs w:val="20"/>
              </w:rPr>
              <w:t>Productos de la consultoría “Servicio especializado para la estimación, monitoreo y reporte de gases de efecto invernadero (GEI) atribuibles a las intervenciones del proyecto GEF 10307: “Cadenas de Valor Libres de Deforestación en la Amazonía Peruana” (Proyecto FOLUR)”,</w:t>
            </w:r>
          </w:p>
        </w:tc>
        <w:tc>
          <w:tcPr>
            <w:tcW w:w="4406" w:type="dxa"/>
            <w:vAlign w:val="center"/>
          </w:tcPr>
          <w:p w14:paraId="5326CB55" w14:textId="69E16F8A" w:rsidR="00F318B5" w:rsidRPr="00DE692F" w:rsidRDefault="00F318B5" w:rsidP="10068F2D">
            <w:pPr>
              <w:rPr>
                <w:rFonts w:cs="Arial"/>
                <w:color w:val="000000" w:themeColor="text1"/>
                <w:sz w:val="20"/>
                <w:szCs w:val="20"/>
              </w:rPr>
            </w:pPr>
            <w:hyperlink r:id="rId21" w:history="1">
              <w:r w:rsidRPr="00DE692F">
                <w:rPr>
                  <w:rStyle w:val="Hipervnculo"/>
                  <w:rFonts w:cs="Arial"/>
                  <w:sz w:val="20"/>
                  <w:szCs w:val="20"/>
                </w:rPr>
                <w:t>https://drive.google.com/drive/folders/1JQYv3ujRL5bOCVFa_QnDM5udoyjFCiSe?usp=sharing</w:t>
              </w:r>
            </w:hyperlink>
            <w:r w:rsidRPr="00DE692F">
              <w:rPr>
                <w:rFonts w:cs="Arial"/>
                <w:color w:val="000000" w:themeColor="text1"/>
                <w:sz w:val="20"/>
                <w:szCs w:val="20"/>
              </w:rPr>
              <w:t xml:space="preserve"> </w:t>
            </w:r>
          </w:p>
        </w:tc>
      </w:tr>
      <w:tr w:rsidR="0035315A" w:rsidRPr="00DE692F" w14:paraId="40BA9872" w14:textId="77777777" w:rsidTr="00916BA0">
        <w:trPr>
          <w:trHeight w:val="300"/>
        </w:trPr>
        <w:tc>
          <w:tcPr>
            <w:tcW w:w="14868" w:type="dxa"/>
            <w:gridSpan w:val="4"/>
            <w:vAlign w:val="center"/>
          </w:tcPr>
          <w:p w14:paraId="08153B36" w14:textId="6B3DD7D7" w:rsidR="0035315A" w:rsidRPr="00DE692F" w:rsidRDefault="0035315A" w:rsidP="0035315A">
            <w:pPr>
              <w:spacing w:after="160" w:line="259" w:lineRule="auto"/>
              <w:jc w:val="left"/>
              <w:rPr>
                <w:rFonts w:eastAsia="Calibri" w:cs="Arial"/>
                <w:b/>
                <w:bCs/>
                <w:color w:val="000000" w:themeColor="text1"/>
                <w:sz w:val="20"/>
                <w:szCs w:val="20"/>
              </w:rPr>
            </w:pPr>
            <w:r w:rsidRPr="00DE692F">
              <w:rPr>
                <w:b/>
                <w:bCs/>
                <w:color w:val="000000"/>
                <w:sz w:val="20"/>
                <w:szCs w:val="20"/>
              </w:rPr>
              <w:t>COMPONENTE 1</w:t>
            </w:r>
          </w:p>
        </w:tc>
      </w:tr>
      <w:tr w:rsidR="0035315A" w:rsidRPr="00DE692F" w14:paraId="026374D1" w14:textId="77777777" w:rsidTr="00AD7BA6">
        <w:trPr>
          <w:trHeight w:val="300"/>
        </w:trPr>
        <w:tc>
          <w:tcPr>
            <w:tcW w:w="14868" w:type="dxa"/>
            <w:gridSpan w:val="4"/>
            <w:vAlign w:val="center"/>
          </w:tcPr>
          <w:p w14:paraId="703EA3C0" w14:textId="3CAE508B" w:rsidR="0035315A" w:rsidRPr="00DE692F" w:rsidRDefault="0035315A" w:rsidP="0035315A">
            <w:pPr>
              <w:rPr>
                <w:rFonts w:cs="Arial"/>
                <w:color w:val="000000" w:themeColor="text1"/>
                <w:sz w:val="20"/>
                <w:szCs w:val="20"/>
              </w:rPr>
            </w:pPr>
            <w:r w:rsidRPr="00DE692F">
              <w:rPr>
                <w:b/>
                <w:bCs/>
                <w:color w:val="000000"/>
                <w:sz w:val="20"/>
                <w:szCs w:val="20"/>
              </w:rPr>
              <w:t>Resultado 1</w:t>
            </w:r>
          </w:p>
        </w:tc>
      </w:tr>
      <w:tr w:rsidR="00880F3C" w:rsidRPr="00DE692F" w14:paraId="673A87A6" w14:textId="77777777" w:rsidTr="00A30651">
        <w:trPr>
          <w:trHeight w:val="300"/>
        </w:trPr>
        <w:tc>
          <w:tcPr>
            <w:tcW w:w="551" w:type="dxa"/>
            <w:vAlign w:val="center"/>
          </w:tcPr>
          <w:p w14:paraId="3A3EF330"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1C0443BE" w14:textId="73A66130" w:rsidR="00880F3C" w:rsidRPr="00DE692F" w:rsidRDefault="0060784C" w:rsidP="0035315A">
            <w:pPr>
              <w:rPr>
                <w:rFonts w:cs="Arial"/>
                <w:color w:val="000000" w:themeColor="text1"/>
                <w:sz w:val="20"/>
                <w:szCs w:val="20"/>
              </w:rPr>
            </w:pPr>
            <w:r w:rsidRPr="00DE692F">
              <w:rPr>
                <w:rFonts w:cs="Arial"/>
                <w:color w:val="000000" w:themeColor="text1"/>
                <w:sz w:val="20"/>
                <w:szCs w:val="20"/>
              </w:rPr>
              <w:t>Producto 1.1.1</w:t>
            </w:r>
          </w:p>
        </w:tc>
        <w:tc>
          <w:tcPr>
            <w:tcW w:w="4808" w:type="dxa"/>
            <w:vAlign w:val="center"/>
          </w:tcPr>
          <w:p w14:paraId="6AA7988D" w14:textId="30F64A16" w:rsidR="00880F3C" w:rsidRPr="00DE692F" w:rsidRDefault="00880F3C" w:rsidP="00343CC3">
            <w:pPr>
              <w:rPr>
                <w:rFonts w:cs="Arial"/>
                <w:color w:val="000000" w:themeColor="text1"/>
                <w:sz w:val="20"/>
                <w:szCs w:val="20"/>
              </w:rPr>
            </w:pPr>
            <w:r w:rsidRPr="00DE692F">
              <w:rPr>
                <w:rFonts w:cs="Arial"/>
                <w:color w:val="000000" w:themeColor="text1"/>
                <w:sz w:val="20"/>
                <w:szCs w:val="20"/>
              </w:rPr>
              <w:t>Informe PDLC</w:t>
            </w:r>
          </w:p>
        </w:tc>
        <w:tc>
          <w:tcPr>
            <w:tcW w:w="4406" w:type="dxa"/>
            <w:vAlign w:val="center"/>
          </w:tcPr>
          <w:p w14:paraId="3A9452D5" w14:textId="4E0D728C" w:rsidR="00880F3C" w:rsidRPr="00DE692F" w:rsidRDefault="00880F3C" w:rsidP="0035315A">
            <w:pPr>
              <w:rPr>
                <w:rFonts w:cs="Arial"/>
                <w:color w:val="000000" w:themeColor="text1"/>
                <w:sz w:val="20"/>
                <w:szCs w:val="20"/>
              </w:rPr>
            </w:pPr>
            <w:hyperlink r:id="rId22" w:history="1">
              <w:r w:rsidRPr="00DE692F">
                <w:rPr>
                  <w:rStyle w:val="Hipervnculo"/>
                  <w:rFonts w:cs="Arial"/>
                  <w:sz w:val="20"/>
                  <w:szCs w:val="20"/>
                </w:rPr>
                <w:t>https://d</w:t>
              </w:r>
              <w:r w:rsidRPr="00DE692F">
                <w:rPr>
                  <w:rStyle w:val="Hipervnculo"/>
                  <w:rFonts w:cs="Arial"/>
                  <w:sz w:val="20"/>
                  <w:szCs w:val="20"/>
                </w:rPr>
                <w:t>r</w:t>
              </w:r>
              <w:r w:rsidRPr="00DE692F">
                <w:rPr>
                  <w:rStyle w:val="Hipervnculo"/>
                  <w:rFonts w:cs="Arial"/>
                  <w:sz w:val="20"/>
                  <w:szCs w:val="20"/>
                </w:rPr>
                <w:t>ive.google.com/open?id=1U64If1y0CQO0ZdSI8ceKDz35WOKBU42s&amp;usp=drive_fs</w:t>
              </w:r>
            </w:hyperlink>
            <w:r w:rsidRPr="00DE692F">
              <w:rPr>
                <w:rFonts w:cs="Arial"/>
                <w:color w:val="000000" w:themeColor="text1"/>
                <w:sz w:val="20"/>
                <w:szCs w:val="20"/>
              </w:rPr>
              <w:t xml:space="preserve"> </w:t>
            </w:r>
          </w:p>
        </w:tc>
      </w:tr>
      <w:tr w:rsidR="00880F3C" w:rsidRPr="00DE692F" w14:paraId="6F774672" w14:textId="77777777" w:rsidTr="00A30651">
        <w:trPr>
          <w:trHeight w:val="300"/>
        </w:trPr>
        <w:tc>
          <w:tcPr>
            <w:tcW w:w="551" w:type="dxa"/>
            <w:vAlign w:val="center"/>
          </w:tcPr>
          <w:p w14:paraId="4B72D614"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ign w:val="center"/>
          </w:tcPr>
          <w:p w14:paraId="0F8B90E4" w14:textId="5639284D" w:rsidR="00880F3C" w:rsidRPr="00DE692F" w:rsidRDefault="00880F3C" w:rsidP="0035315A">
            <w:pPr>
              <w:rPr>
                <w:rFonts w:cs="Arial"/>
                <w:color w:val="000000" w:themeColor="text1"/>
                <w:sz w:val="20"/>
                <w:szCs w:val="20"/>
              </w:rPr>
            </w:pPr>
          </w:p>
        </w:tc>
        <w:tc>
          <w:tcPr>
            <w:tcW w:w="4808" w:type="dxa"/>
            <w:vAlign w:val="center"/>
          </w:tcPr>
          <w:p w14:paraId="33B95AA2" w14:textId="11FCB284" w:rsidR="00880F3C" w:rsidRPr="00DE692F" w:rsidRDefault="00880F3C" w:rsidP="00880F3C">
            <w:pPr>
              <w:rPr>
                <w:rFonts w:cs="Arial"/>
                <w:color w:val="000000" w:themeColor="text1"/>
                <w:sz w:val="20"/>
                <w:szCs w:val="20"/>
              </w:rPr>
            </w:pPr>
            <w:r w:rsidRPr="00DE692F">
              <w:rPr>
                <w:rFonts w:cs="Arial"/>
                <w:color w:val="000000" w:themeColor="text1"/>
                <w:sz w:val="20"/>
                <w:szCs w:val="20"/>
              </w:rPr>
              <w:t>Acta Taller PDLC Bongará</w:t>
            </w:r>
          </w:p>
          <w:p w14:paraId="4739C4E6" w14:textId="77777777" w:rsidR="00880F3C" w:rsidRPr="00DE692F" w:rsidRDefault="00880F3C" w:rsidP="00880F3C">
            <w:pPr>
              <w:rPr>
                <w:rFonts w:cs="Arial"/>
                <w:color w:val="000000" w:themeColor="text1"/>
                <w:sz w:val="20"/>
                <w:szCs w:val="20"/>
              </w:rPr>
            </w:pPr>
          </w:p>
          <w:p w14:paraId="4D253F19" w14:textId="51A4FB93" w:rsidR="00880F3C" w:rsidRPr="00DE692F" w:rsidRDefault="00880F3C" w:rsidP="00880F3C">
            <w:pPr>
              <w:rPr>
                <w:rFonts w:cs="Arial"/>
                <w:color w:val="000000" w:themeColor="text1"/>
                <w:sz w:val="20"/>
                <w:szCs w:val="20"/>
              </w:rPr>
            </w:pPr>
            <w:r w:rsidRPr="00DE692F">
              <w:rPr>
                <w:rFonts w:cs="Arial"/>
                <w:color w:val="000000" w:themeColor="text1"/>
                <w:sz w:val="20"/>
                <w:szCs w:val="20"/>
              </w:rPr>
              <w:t>Acta Taller Rodríguez de Mendoza</w:t>
            </w:r>
          </w:p>
          <w:p w14:paraId="78422336" w14:textId="13939A74" w:rsidR="00880F3C" w:rsidRPr="00DE692F" w:rsidRDefault="00880F3C" w:rsidP="00880F3C">
            <w:pPr>
              <w:rPr>
                <w:rFonts w:cs="Arial"/>
                <w:color w:val="000000" w:themeColor="text1"/>
                <w:sz w:val="20"/>
                <w:szCs w:val="20"/>
              </w:rPr>
            </w:pPr>
          </w:p>
        </w:tc>
        <w:tc>
          <w:tcPr>
            <w:tcW w:w="4406" w:type="dxa"/>
            <w:vAlign w:val="center"/>
          </w:tcPr>
          <w:p w14:paraId="1C4DCB27" w14:textId="0F5FDA39" w:rsidR="00880F3C" w:rsidRPr="00DE692F" w:rsidRDefault="00880F3C" w:rsidP="0035315A">
            <w:pPr>
              <w:rPr>
                <w:rFonts w:cs="Arial"/>
                <w:color w:val="000000" w:themeColor="text1"/>
                <w:sz w:val="20"/>
                <w:szCs w:val="20"/>
              </w:rPr>
            </w:pPr>
            <w:hyperlink r:id="rId23" w:history="1">
              <w:r w:rsidRPr="00DE692F">
                <w:rPr>
                  <w:rStyle w:val="Hipervnculo"/>
                  <w:rFonts w:cs="Arial"/>
                  <w:sz w:val="20"/>
                  <w:szCs w:val="20"/>
                </w:rPr>
                <w:t>https://drive.g</w:t>
              </w:r>
              <w:r w:rsidRPr="00DE692F">
                <w:rPr>
                  <w:rStyle w:val="Hipervnculo"/>
                  <w:rFonts w:cs="Arial"/>
                  <w:sz w:val="20"/>
                  <w:szCs w:val="20"/>
                </w:rPr>
                <w:t>o</w:t>
              </w:r>
              <w:r w:rsidRPr="00DE692F">
                <w:rPr>
                  <w:rStyle w:val="Hipervnculo"/>
                  <w:rFonts w:cs="Arial"/>
                  <w:sz w:val="20"/>
                  <w:szCs w:val="20"/>
                </w:rPr>
                <w:t>ogle.com/open?id=1OxZygSsht2LAEhh</w:t>
              </w:r>
              <w:r w:rsidRPr="00DE692F">
                <w:rPr>
                  <w:rStyle w:val="Hipervnculo"/>
                  <w:rFonts w:cs="Arial"/>
                  <w:sz w:val="20"/>
                  <w:szCs w:val="20"/>
                </w:rPr>
                <w:t>b</w:t>
              </w:r>
              <w:r w:rsidRPr="00DE692F">
                <w:rPr>
                  <w:rStyle w:val="Hipervnculo"/>
                  <w:rFonts w:cs="Arial"/>
                  <w:sz w:val="20"/>
                  <w:szCs w:val="20"/>
                </w:rPr>
                <w:t>3qJNZXZP8c7KB2a8&amp;usp=drive_fs</w:t>
              </w:r>
            </w:hyperlink>
            <w:r w:rsidRPr="00DE692F">
              <w:rPr>
                <w:rFonts w:cs="Arial"/>
                <w:color w:val="000000" w:themeColor="text1"/>
                <w:sz w:val="20"/>
                <w:szCs w:val="20"/>
              </w:rPr>
              <w:t xml:space="preserve"> </w:t>
            </w:r>
          </w:p>
        </w:tc>
      </w:tr>
      <w:tr w:rsidR="00880F3C" w:rsidRPr="00DE692F" w14:paraId="7AFD3966" w14:textId="77777777" w:rsidTr="00A30651">
        <w:trPr>
          <w:trHeight w:val="300"/>
        </w:trPr>
        <w:tc>
          <w:tcPr>
            <w:tcW w:w="551" w:type="dxa"/>
            <w:vAlign w:val="center"/>
          </w:tcPr>
          <w:p w14:paraId="4DD674DB"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ign w:val="center"/>
          </w:tcPr>
          <w:p w14:paraId="374DCFB3" w14:textId="77777777" w:rsidR="00880F3C" w:rsidRPr="00DE692F" w:rsidRDefault="00880F3C" w:rsidP="0035315A">
            <w:pPr>
              <w:rPr>
                <w:rFonts w:cs="Arial"/>
                <w:color w:val="000000" w:themeColor="text1"/>
                <w:sz w:val="20"/>
                <w:szCs w:val="20"/>
              </w:rPr>
            </w:pPr>
          </w:p>
        </w:tc>
        <w:tc>
          <w:tcPr>
            <w:tcW w:w="4808" w:type="dxa"/>
            <w:vAlign w:val="center"/>
          </w:tcPr>
          <w:p w14:paraId="60EDD6E1" w14:textId="04A8CDD5" w:rsidR="00880F3C" w:rsidRPr="00DE692F" w:rsidRDefault="00880F3C" w:rsidP="0035315A">
            <w:pPr>
              <w:rPr>
                <w:rFonts w:cs="Arial"/>
                <w:color w:val="000000" w:themeColor="text1"/>
                <w:sz w:val="20"/>
                <w:szCs w:val="20"/>
              </w:rPr>
            </w:pPr>
            <w:r w:rsidRPr="00DE692F">
              <w:rPr>
                <w:rFonts w:cs="Arial"/>
                <w:color w:val="000000" w:themeColor="text1"/>
                <w:sz w:val="20"/>
                <w:szCs w:val="20"/>
              </w:rPr>
              <w:t>Acta de reunión del taller preparatorio para el planeamiento estratégico, territorial e institucional, orientado a la formulación del PDLC, PEI y POI de la provincia de San Ignacio</w:t>
            </w:r>
            <w:r w:rsidR="001F6E1B">
              <w:rPr>
                <w:rFonts w:cs="Arial"/>
                <w:color w:val="000000" w:themeColor="text1"/>
                <w:sz w:val="20"/>
                <w:szCs w:val="20"/>
              </w:rPr>
              <w:t xml:space="preserve"> y Tabaconas</w:t>
            </w:r>
          </w:p>
          <w:p w14:paraId="45003C61" w14:textId="77777777" w:rsidR="00880F3C" w:rsidRPr="00DE692F" w:rsidRDefault="00880F3C" w:rsidP="0035315A">
            <w:pPr>
              <w:rPr>
                <w:rFonts w:cs="Arial"/>
                <w:color w:val="000000" w:themeColor="text1"/>
                <w:sz w:val="20"/>
                <w:szCs w:val="20"/>
              </w:rPr>
            </w:pPr>
          </w:p>
          <w:p w14:paraId="3F25CD36" w14:textId="58FAE1DA" w:rsidR="00880F3C" w:rsidRPr="00DE692F" w:rsidRDefault="00880F3C" w:rsidP="0035315A">
            <w:pPr>
              <w:rPr>
                <w:rFonts w:cs="Arial"/>
                <w:color w:val="000000" w:themeColor="text1"/>
                <w:sz w:val="20"/>
                <w:szCs w:val="20"/>
              </w:rPr>
            </w:pPr>
          </w:p>
        </w:tc>
        <w:tc>
          <w:tcPr>
            <w:tcW w:w="4406" w:type="dxa"/>
            <w:vAlign w:val="center"/>
          </w:tcPr>
          <w:p w14:paraId="283E5986" w14:textId="1F44085E" w:rsidR="00880F3C" w:rsidRPr="00DE692F" w:rsidRDefault="00880F3C" w:rsidP="0035315A">
            <w:pPr>
              <w:rPr>
                <w:rFonts w:cs="Arial"/>
                <w:color w:val="000000" w:themeColor="text1"/>
                <w:sz w:val="20"/>
                <w:szCs w:val="20"/>
              </w:rPr>
            </w:pPr>
            <w:hyperlink r:id="rId24" w:history="1">
              <w:r w:rsidRPr="00DE692F">
                <w:rPr>
                  <w:rStyle w:val="Hipervnculo"/>
                  <w:rFonts w:cs="Arial"/>
                  <w:sz w:val="20"/>
                  <w:szCs w:val="20"/>
                </w:rPr>
                <w:t>https://driv</w:t>
              </w:r>
              <w:r w:rsidRPr="00DE692F">
                <w:rPr>
                  <w:rStyle w:val="Hipervnculo"/>
                  <w:rFonts w:cs="Arial"/>
                  <w:sz w:val="20"/>
                  <w:szCs w:val="20"/>
                </w:rPr>
                <w:t>e</w:t>
              </w:r>
              <w:r w:rsidRPr="00DE692F">
                <w:rPr>
                  <w:rStyle w:val="Hipervnculo"/>
                  <w:rFonts w:cs="Arial"/>
                  <w:sz w:val="20"/>
                  <w:szCs w:val="20"/>
                </w:rPr>
                <w:t>.google.com/open?id=1QmY_lGQZECHwTLWsrTEF0Me8a7X0whZ3&amp;usp=drive_fs</w:t>
              </w:r>
            </w:hyperlink>
            <w:r w:rsidRPr="00DE692F">
              <w:rPr>
                <w:rFonts w:cs="Arial"/>
                <w:color w:val="000000" w:themeColor="text1"/>
                <w:sz w:val="20"/>
                <w:szCs w:val="20"/>
              </w:rPr>
              <w:t xml:space="preserve"> </w:t>
            </w:r>
          </w:p>
        </w:tc>
      </w:tr>
      <w:tr w:rsidR="00880F3C" w:rsidRPr="00DE692F" w14:paraId="362E2AF8" w14:textId="77777777" w:rsidTr="00A30651">
        <w:trPr>
          <w:trHeight w:val="300"/>
        </w:trPr>
        <w:tc>
          <w:tcPr>
            <w:tcW w:w="551" w:type="dxa"/>
            <w:vAlign w:val="center"/>
          </w:tcPr>
          <w:p w14:paraId="5F900872"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33A0EA23" w14:textId="3B7FF956" w:rsidR="00880F3C" w:rsidRPr="00DE692F" w:rsidRDefault="00880F3C" w:rsidP="0035315A">
            <w:pPr>
              <w:rPr>
                <w:rFonts w:cs="Arial"/>
                <w:color w:val="000000" w:themeColor="text1"/>
                <w:sz w:val="20"/>
                <w:szCs w:val="20"/>
              </w:rPr>
            </w:pPr>
            <w:r w:rsidRPr="00DE692F">
              <w:rPr>
                <w:rFonts w:cs="Arial"/>
                <w:color w:val="000000" w:themeColor="text1"/>
                <w:sz w:val="20"/>
                <w:szCs w:val="20"/>
              </w:rPr>
              <w:t>Producto 1.1.2</w:t>
            </w:r>
          </w:p>
        </w:tc>
        <w:tc>
          <w:tcPr>
            <w:tcW w:w="4808" w:type="dxa"/>
            <w:vAlign w:val="center"/>
          </w:tcPr>
          <w:p w14:paraId="3F4309B2" w14:textId="3B2304D0" w:rsidR="00880F3C" w:rsidRPr="00DE692F" w:rsidRDefault="00880F3C" w:rsidP="0035315A">
            <w:pPr>
              <w:rPr>
                <w:rFonts w:cs="Arial"/>
                <w:color w:val="000000" w:themeColor="text1"/>
                <w:sz w:val="20"/>
                <w:szCs w:val="20"/>
              </w:rPr>
            </w:pPr>
            <w:r w:rsidRPr="00DE692F">
              <w:rPr>
                <w:rFonts w:cs="Arial"/>
                <w:color w:val="000000" w:themeColor="text1"/>
                <w:sz w:val="20"/>
                <w:szCs w:val="20"/>
              </w:rPr>
              <w:t xml:space="preserve">TdR </w:t>
            </w:r>
            <w:r w:rsidR="00E24C4C" w:rsidRPr="00DE692F">
              <w:rPr>
                <w:rFonts w:cs="Arial"/>
                <w:color w:val="000000" w:themeColor="text1"/>
                <w:sz w:val="20"/>
                <w:szCs w:val="20"/>
              </w:rPr>
              <w:t>del Servicio de elaboración del Estudio sobre Trabajo Infantil, en el marco de las Salvaguardas Sociales y Ambientales del Proyecto FOLUR - GEF 10307</w:t>
            </w:r>
          </w:p>
        </w:tc>
        <w:tc>
          <w:tcPr>
            <w:tcW w:w="4406" w:type="dxa"/>
            <w:vAlign w:val="center"/>
          </w:tcPr>
          <w:p w14:paraId="09D7C85C" w14:textId="0C18EE9C" w:rsidR="00880F3C" w:rsidRPr="00DE692F" w:rsidRDefault="00880F3C" w:rsidP="0035315A">
            <w:pPr>
              <w:rPr>
                <w:rFonts w:cs="Arial"/>
                <w:color w:val="000000" w:themeColor="text1"/>
                <w:sz w:val="20"/>
                <w:szCs w:val="20"/>
              </w:rPr>
            </w:pPr>
            <w:hyperlink r:id="rId25" w:history="1">
              <w:r w:rsidRPr="00DE692F">
                <w:rPr>
                  <w:rStyle w:val="Hipervnculo"/>
                  <w:rFonts w:cs="Arial"/>
                  <w:sz w:val="20"/>
                  <w:szCs w:val="20"/>
                </w:rPr>
                <w:t>https://driv</w:t>
              </w:r>
              <w:r w:rsidRPr="00DE692F">
                <w:rPr>
                  <w:rStyle w:val="Hipervnculo"/>
                  <w:rFonts w:cs="Arial"/>
                  <w:sz w:val="20"/>
                  <w:szCs w:val="20"/>
                </w:rPr>
                <w:t>e</w:t>
              </w:r>
              <w:r w:rsidRPr="00DE692F">
                <w:rPr>
                  <w:rStyle w:val="Hipervnculo"/>
                  <w:rFonts w:cs="Arial"/>
                  <w:sz w:val="20"/>
                  <w:szCs w:val="20"/>
                </w:rPr>
                <w:t>.google.com/open?id=1PJyVqR7v4zDT95vh5M1wPcn9HeKmgOQj&amp;usp=drive_fs</w:t>
              </w:r>
            </w:hyperlink>
            <w:r w:rsidRPr="00DE692F">
              <w:rPr>
                <w:rFonts w:cs="Arial"/>
                <w:color w:val="000000" w:themeColor="text1"/>
                <w:sz w:val="20"/>
                <w:szCs w:val="20"/>
              </w:rPr>
              <w:t xml:space="preserve"> </w:t>
            </w:r>
          </w:p>
        </w:tc>
      </w:tr>
      <w:tr w:rsidR="00880F3C" w:rsidRPr="00DE692F" w14:paraId="4BDC315B" w14:textId="77777777" w:rsidTr="00A30651">
        <w:trPr>
          <w:trHeight w:val="300"/>
        </w:trPr>
        <w:tc>
          <w:tcPr>
            <w:tcW w:w="551" w:type="dxa"/>
            <w:vAlign w:val="center"/>
          </w:tcPr>
          <w:p w14:paraId="243332C1"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ign w:val="center"/>
          </w:tcPr>
          <w:p w14:paraId="5B2ED49A" w14:textId="77777777" w:rsidR="00880F3C" w:rsidRPr="00DE692F" w:rsidRDefault="00880F3C" w:rsidP="0035315A">
            <w:pPr>
              <w:rPr>
                <w:rFonts w:cs="Arial"/>
                <w:color w:val="000000" w:themeColor="text1"/>
                <w:sz w:val="20"/>
                <w:szCs w:val="20"/>
              </w:rPr>
            </w:pPr>
          </w:p>
        </w:tc>
        <w:tc>
          <w:tcPr>
            <w:tcW w:w="4808" w:type="dxa"/>
            <w:vAlign w:val="center"/>
          </w:tcPr>
          <w:p w14:paraId="72B4419C" w14:textId="77777777" w:rsidR="001F6E1B" w:rsidRPr="001F6E1B" w:rsidRDefault="001F6E1B" w:rsidP="001F6E1B">
            <w:pPr>
              <w:rPr>
                <w:rFonts w:cs="Arial"/>
                <w:color w:val="000000" w:themeColor="text1"/>
                <w:sz w:val="20"/>
                <w:szCs w:val="20"/>
              </w:rPr>
            </w:pPr>
            <w:r w:rsidRPr="001F6E1B">
              <w:rPr>
                <w:rFonts w:cs="Arial"/>
                <w:color w:val="000000" w:themeColor="text1"/>
                <w:sz w:val="20"/>
                <w:szCs w:val="20"/>
              </w:rPr>
              <w:t>Reuniones con CORPI</w:t>
            </w:r>
          </w:p>
          <w:p w14:paraId="7DBC680D" w14:textId="77777777" w:rsidR="001F6E1B" w:rsidRPr="001F6E1B" w:rsidRDefault="001F6E1B" w:rsidP="001F6E1B">
            <w:pPr>
              <w:rPr>
                <w:rFonts w:cs="Arial"/>
                <w:color w:val="000000" w:themeColor="text1"/>
                <w:sz w:val="20"/>
                <w:szCs w:val="20"/>
              </w:rPr>
            </w:pPr>
            <w:r w:rsidRPr="001F6E1B">
              <w:rPr>
                <w:rFonts w:cs="Arial"/>
                <w:color w:val="000000" w:themeColor="text1"/>
                <w:sz w:val="20"/>
                <w:szCs w:val="20"/>
              </w:rPr>
              <w:t>Reuniones y Plan de Trabajo con ECA Chayunain</w:t>
            </w:r>
          </w:p>
          <w:p w14:paraId="1364EF39" w14:textId="77777777" w:rsidR="001F6E1B" w:rsidRPr="001F6E1B" w:rsidRDefault="001F6E1B" w:rsidP="001F6E1B">
            <w:pPr>
              <w:rPr>
                <w:rFonts w:cs="Arial"/>
                <w:color w:val="000000" w:themeColor="text1"/>
                <w:sz w:val="20"/>
                <w:szCs w:val="20"/>
              </w:rPr>
            </w:pPr>
            <w:r w:rsidRPr="001F6E1B">
              <w:rPr>
                <w:rFonts w:cs="Arial"/>
                <w:color w:val="000000" w:themeColor="text1"/>
                <w:sz w:val="20"/>
                <w:szCs w:val="20"/>
              </w:rPr>
              <w:t>Convocatoria de Fortalecimiento ORDEPIA</w:t>
            </w:r>
          </w:p>
          <w:p w14:paraId="2E9F0485" w14:textId="27BDB4BE" w:rsidR="00880F3C" w:rsidRPr="00DE692F" w:rsidRDefault="001F6E1B" w:rsidP="001F6E1B">
            <w:pPr>
              <w:rPr>
                <w:rFonts w:cs="Arial"/>
                <w:color w:val="000000" w:themeColor="text1"/>
                <w:sz w:val="20"/>
                <w:szCs w:val="20"/>
              </w:rPr>
            </w:pPr>
            <w:r w:rsidRPr="001F6E1B">
              <w:rPr>
                <w:rFonts w:cs="Arial"/>
                <w:color w:val="000000" w:themeColor="text1"/>
                <w:sz w:val="20"/>
                <w:szCs w:val="20"/>
              </w:rPr>
              <w:t>Reuniones y plan de trabajo con ORDEPIAA</w:t>
            </w:r>
          </w:p>
        </w:tc>
        <w:tc>
          <w:tcPr>
            <w:tcW w:w="4406" w:type="dxa"/>
            <w:vAlign w:val="center"/>
          </w:tcPr>
          <w:p w14:paraId="257D1D5D" w14:textId="31A9FEAA" w:rsidR="00880F3C" w:rsidRPr="00DE692F" w:rsidRDefault="00880F3C" w:rsidP="0035315A">
            <w:pPr>
              <w:rPr>
                <w:rFonts w:cs="Arial"/>
                <w:color w:val="000000" w:themeColor="text1"/>
                <w:sz w:val="20"/>
                <w:szCs w:val="20"/>
              </w:rPr>
            </w:pPr>
            <w:hyperlink r:id="rId26" w:history="1">
              <w:r w:rsidRPr="00DE692F">
                <w:rPr>
                  <w:rStyle w:val="Hipervnculo"/>
                  <w:rFonts w:cs="Arial"/>
                  <w:sz w:val="20"/>
                  <w:szCs w:val="20"/>
                </w:rPr>
                <w:t>https://drive.g</w:t>
              </w:r>
              <w:r w:rsidRPr="00DE692F">
                <w:rPr>
                  <w:rStyle w:val="Hipervnculo"/>
                  <w:rFonts w:cs="Arial"/>
                  <w:sz w:val="20"/>
                  <w:szCs w:val="20"/>
                </w:rPr>
                <w:t>o</w:t>
              </w:r>
              <w:r w:rsidRPr="00DE692F">
                <w:rPr>
                  <w:rStyle w:val="Hipervnculo"/>
                  <w:rFonts w:cs="Arial"/>
                  <w:sz w:val="20"/>
                  <w:szCs w:val="20"/>
                </w:rPr>
                <w:t>ogle.com/open?id=1XXPrfNuUIhmhUAThQrmP50oXTOHs7HMX&amp;usp=drive_fs</w:t>
              </w:r>
            </w:hyperlink>
            <w:r w:rsidRPr="00DE692F">
              <w:rPr>
                <w:rFonts w:cs="Arial"/>
                <w:color w:val="000000" w:themeColor="text1"/>
                <w:sz w:val="20"/>
                <w:szCs w:val="20"/>
              </w:rPr>
              <w:t xml:space="preserve"> </w:t>
            </w:r>
          </w:p>
        </w:tc>
      </w:tr>
      <w:tr w:rsidR="00880F3C" w:rsidRPr="00DE692F" w14:paraId="1C65E8AC" w14:textId="77777777" w:rsidTr="00A30651">
        <w:trPr>
          <w:trHeight w:val="300"/>
        </w:trPr>
        <w:tc>
          <w:tcPr>
            <w:tcW w:w="551" w:type="dxa"/>
            <w:vAlign w:val="center"/>
          </w:tcPr>
          <w:p w14:paraId="595E4F37"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ign w:val="center"/>
          </w:tcPr>
          <w:p w14:paraId="1211E50C" w14:textId="77777777" w:rsidR="00880F3C" w:rsidRPr="00DE692F" w:rsidRDefault="00880F3C" w:rsidP="0035315A">
            <w:pPr>
              <w:rPr>
                <w:rFonts w:cs="Arial"/>
                <w:color w:val="000000" w:themeColor="text1"/>
                <w:sz w:val="20"/>
                <w:szCs w:val="20"/>
              </w:rPr>
            </w:pPr>
          </w:p>
        </w:tc>
        <w:tc>
          <w:tcPr>
            <w:tcW w:w="4808" w:type="dxa"/>
            <w:vAlign w:val="center"/>
          </w:tcPr>
          <w:p w14:paraId="538CBEB2" w14:textId="6B74F887" w:rsidR="00880F3C" w:rsidRPr="00DE692F" w:rsidRDefault="00880F3C" w:rsidP="0035315A">
            <w:pPr>
              <w:rPr>
                <w:rFonts w:cs="Arial"/>
                <w:color w:val="000000" w:themeColor="text1"/>
                <w:sz w:val="20"/>
                <w:szCs w:val="20"/>
              </w:rPr>
            </w:pPr>
            <w:r w:rsidRPr="00DE692F">
              <w:rPr>
                <w:rFonts w:cs="Arial"/>
                <w:color w:val="000000" w:themeColor="text1"/>
                <w:sz w:val="20"/>
                <w:szCs w:val="20"/>
              </w:rPr>
              <w:t>Actas de las 3 federaciones (CORPI, ORDEPIAA y ECA)</w:t>
            </w:r>
          </w:p>
        </w:tc>
        <w:tc>
          <w:tcPr>
            <w:tcW w:w="4406" w:type="dxa"/>
            <w:vAlign w:val="center"/>
          </w:tcPr>
          <w:p w14:paraId="597C9B7D" w14:textId="2FD940D8" w:rsidR="00880F3C" w:rsidRPr="00DE692F" w:rsidRDefault="005E1CC4" w:rsidP="0035315A">
            <w:pPr>
              <w:rPr>
                <w:rFonts w:cs="Arial"/>
                <w:color w:val="000000" w:themeColor="text1"/>
                <w:sz w:val="20"/>
                <w:szCs w:val="20"/>
              </w:rPr>
            </w:pPr>
            <w:hyperlink r:id="rId27" w:history="1">
              <w:r w:rsidRPr="003A48A5">
                <w:rPr>
                  <w:rStyle w:val="Hipervnculo"/>
                  <w:rFonts w:cs="Arial"/>
                  <w:sz w:val="20"/>
                  <w:szCs w:val="20"/>
                </w:rPr>
                <w:t>https:/</w:t>
              </w:r>
              <w:r w:rsidRPr="003A48A5">
                <w:rPr>
                  <w:rStyle w:val="Hipervnculo"/>
                  <w:rFonts w:cs="Arial"/>
                  <w:sz w:val="20"/>
                  <w:szCs w:val="20"/>
                </w:rPr>
                <w:t>/</w:t>
              </w:r>
              <w:r w:rsidRPr="003A48A5">
                <w:rPr>
                  <w:rStyle w:val="Hipervnculo"/>
                  <w:rFonts w:cs="Arial"/>
                  <w:sz w:val="20"/>
                  <w:szCs w:val="20"/>
                </w:rPr>
                <w:t>drive.google.com/drive/folders/1QoSKQQ4aUIByeTm5I2RiVmuFANq0lWPd?usp=sharing</w:t>
              </w:r>
            </w:hyperlink>
            <w:r>
              <w:rPr>
                <w:rFonts w:cs="Arial"/>
                <w:color w:val="000000" w:themeColor="text1"/>
                <w:sz w:val="20"/>
                <w:szCs w:val="20"/>
              </w:rPr>
              <w:t xml:space="preserve"> </w:t>
            </w:r>
          </w:p>
        </w:tc>
      </w:tr>
      <w:tr w:rsidR="00880F3C" w:rsidRPr="00DE692F" w14:paraId="0E60AFBD" w14:textId="77777777" w:rsidTr="00A30651">
        <w:trPr>
          <w:trHeight w:val="300"/>
        </w:trPr>
        <w:tc>
          <w:tcPr>
            <w:tcW w:w="551" w:type="dxa"/>
            <w:vAlign w:val="center"/>
          </w:tcPr>
          <w:p w14:paraId="0C9BD54C" w14:textId="77777777" w:rsidR="00880F3C" w:rsidRPr="00DE692F" w:rsidRDefault="00880F3C" w:rsidP="0035315A">
            <w:pPr>
              <w:pStyle w:val="Prrafodelista"/>
              <w:numPr>
                <w:ilvl w:val="0"/>
                <w:numId w:val="27"/>
              </w:numPr>
              <w:rPr>
                <w:rFonts w:ascii="Arial" w:hAnsi="Arial" w:cs="Arial"/>
                <w:color w:val="000000" w:themeColor="text1"/>
                <w:sz w:val="20"/>
                <w:szCs w:val="20"/>
              </w:rPr>
            </w:pPr>
          </w:p>
        </w:tc>
        <w:tc>
          <w:tcPr>
            <w:tcW w:w="5103" w:type="dxa"/>
            <w:vMerge/>
            <w:vAlign w:val="center"/>
          </w:tcPr>
          <w:p w14:paraId="51526AAC" w14:textId="77777777" w:rsidR="00880F3C" w:rsidRPr="00DE692F" w:rsidRDefault="00880F3C" w:rsidP="0035315A">
            <w:pPr>
              <w:rPr>
                <w:rFonts w:cs="Arial"/>
                <w:color w:val="000000" w:themeColor="text1"/>
                <w:sz w:val="20"/>
                <w:szCs w:val="20"/>
              </w:rPr>
            </w:pPr>
          </w:p>
        </w:tc>
        <w:tc>
          <w:tcPr>
            <w:tcW w:w="4808" w:type="dxa"/>
            <w:vAlign w:val="center"/>
          </w:tcPr>
          <w:p w14:paraId="61D32CD0" w14:textId="420790EE" w:rsidR="00880F3C" w:rsidRPr="00DE692F" w:rsidRDefault="00880F3C" w:rsidP="0035315A">
            <w:pPr>
              <w:rPr>
                <w:rFonts w:cs="Arial"/>
                <w:color w:val="000000" w:themeColor="text1"/>
                <w:sz w:val="20"/>
                <w:szCs w:val="20"/>
              </w:rPr>
            </w:pPr>
            <w:r w:rsidRPr="00DE692F">
              <w:rPr>
                <w:rFonts w:cs="Arial"/>
                <w:color w:val="000000" w:themeColor="text1"/>
                <w:sz w:val="20"/>
                <w:szCs w:val="20"/>
              </w:rPr>
              <w:t>Actas con comunidades nativas</w:t>
            </w:r>
          </w:p>
        </w:tc>
        <w:tc>
          <w:tcPr>
            <w:tcW w:w="4406" w:type="dxa"/>
            <w:vAlign w:val="center"/>
          </w:tcPr>
          <w:p w14:paraId="7D6B09B7" w14:textId="5C6F7B14" w:rsidR="00880F3C" w:rsidRPr="00DE692F" w:rsidRDefault="00880F3C" w:rsidP="0035315A">
            <w:pPr>
              <w:rPr>
                <w:rFonts w:cs="Arial"/>
                <w:color w:val="000000" w:themeColor="text1"/>
                <w:sz w:val="20"/>
                <w:szCs w:val="20"/>
              </w:rPr>
            </w:pPr>
            <w:hyperlink r:id="rId28" w:history="1">
              <w:r w:rsidRPr="00DE692F">
                <w:rPr>
                  <w:rStyle w:val="Hipervnculo"/>
                  <w:rFonts w:cs="Arial"/>
                  <w:sz w:val="20"/>
                  <w:szCs w:val="20"/>
                </w:rPr>
                <w:t>https://driv</w:t>
              </w:r>
              <w:r w:rsidRPr="00DE692F">
                <w:rPr>
                  <w:rStyle w:val="Hipervnculo"/>
                  <w:rFonts w:cs="Arial"/>
                  <w:sz w:val="20"/>
                  <w:szCs w:val="20"/>
                </w:rPr>
                <w:t>e</w:t>
              </w:r>
              <w:r w:rsidRPr="00DE692F">
                <w:rPr>
                  <w:rStyle w:val="Hipervnculo"/>
                  <w:rFonts w:cs="Arial"/>
                  <w:sz w:val="20"/>
                  <w:szCs w:val="20"/>
                </w:rPr>
                <w:t>.goog</w:t>
              </w:r>
              <w:r w:rsidRPr="00DE692F">
                <w:rPr>
                  <w:rStyle w:val="Hipervnculo"/>
                  <w:rFonts w:cs="Arial"/>
                  <w:sz w:val="20"/>
                  <w:szCs w:val="20"/>
                </w:rPr>
                <w:t>l</w:t>
              </w:r>
              <w:r w:rsidRPr="00DE692F">
                <w:rPr>
                  <w:rStyle w:val="Hipervnculo"/>
                  <w:rFonts w:cs="Arial"/>
                  <w:sz w:val="20"/>
                  <w:szCs w:val="20"/>
                </w:rPr>
                <w:t>e.com/open?id=1z2k5Km0rOBNpxV7REPTzcumx2P6Egslq&amp;usp=drive_fs</w:t>
              </w:r>
            </w:hyperlink>
            <w:r w:rsidRPr="00DE692F">
              <w:rPr>
                <w:rFonts w:cs="Arial"/>
                <w:color w:val="000000" w:themeColor="text1"/>
                <w:sz w:val="20"/>
                <w:szCs w:val="20"/>
              </w:rPr>
              <w:t xml:space="preserve"> </w:t>
            </w:r>
          </w:p>
        </w:tc>
      </w:tr>
      <w:tr w:rsidR="00880F3C" w:rsidRPr="00DE692F" w14:paraId="05D20C33" w14:textId="77777777" w:rsidTr="00A30651">
        <w:trPr>
          <w:trHeight w:val="300"/>
        </w:trPr>
        <w:tc>
          <w:tcPr>
            <w:tcW w:w="551" w:type="dxa"/>
            <w:vAlign w:val="center"/>
          </w:tcPr>
          <w:p w14:paraId="5C279562" w14:textId="77777777" w:rsidR="00880F3C" w:rsidRPr="00DE692F" w:rsidRDefault="00880F3C" w:rsidP="00880F3C">
            <w:pPr>
              <w:pStyle w:val="Prrafodelista"/>
              <w:numPr>
                <w:ilvl w:val="0"/>
                <w:numId w:val="27"/>
              </w:numPr>
              <w:rPr>
                <w:rFonts w:ascii="Arial" w:hAnsi="Arial" w:cs="Arial"/>
                <w:color w:val="000000" w:themeColor="text1"/>
                <w:sz w:val="20"/>
                <w:szCs w:val="20"/>
              </w:rPr>
            </w:pPr>
          </w:p>
        </w:tc>
        <w:tc>
          <w:tcPr>
            <w:tcW w:w="5103" w:type="dxa"/>
            <w:vAlign w:val="center"/>
          </w:tcPr>
          <w:p w14:paraId="759AA63E" w14:textId="16958B4D" w:rsidR="00880F3C" w:rsidRPr="00DE692F" w:rsidRDefault="00880F3C" w:rsidP="00880F3C">
            <w:pPr>
              <w:rPr>
                <w:rFonts w:cs="Arial"/>
                <w:color w:val="000000" w:themeColor="text1"/>
                <w:sz w:val="20"/>
                <w:szCs w:val="20"/>
              </w:rPr>
            </w:pPr>
            <w:r w:rsidRPr="00DE692F">
              <w:rPr>
                <w:rFonts w:cs="Arial"/>
                <w:color w:val="000000" w:themeColor="text1"/>
                <w:sz w:val="20"/>
                <w:szCs w:val="20"/>
              </w:rPr>
              <w:t>Producto 1.1.3</w:t>
            </w:r>
          </w:p>
        </w:tc>
        <w:tc>
          <w:tcPr>
            <w:tcW w:w="4808" w:type="dxa"/>
            <w:vAlign w:val="center"/>
          </w:tcPr>
          <w:p w14:paraId="3522DE3F" w14:textId="556D9D7F" w:rsidR="00880F3C" w:rsidRPr="00DE692F" w:rsidRDefault="00880F3C" w:rsidP="00880F3C">
            <w:pPr>
              <w:rPr>
                <w:rFonts w:cs="Arial"/>
                <w:color w:val="000000" w:themeColor="text1"/>
                <w:sz w:val="20"/>
                <w:szCs w:val="20"/>
              </w:rPr>
            </w:pPr>
            <w:r w:rsidRPr="00DE692F">
              <w:rPr>
                <w:rFonts w:cs="Arial"/>
                <w:color w:val="000000" w:themeColor="text1"/>
                <w:sz w:val="20"/>
                <w:szCs w:val="20"/>
              </w:rPr>
              <w:t>Contratos de la AT que se viene dando a los gobiernos locales y provinciales</w:t>
            </w:r>
          </w:p>
          <w:p w14:paraId="15B4DA66" w14:textId="77777777" w:rsidR="00880F3C" w:rsidRPr="00DE692F" w:rsidRDefault="00880F3C" w:rsidP="00880F3C">
            <w:pPr>
              <w:rPr>
                <w:rFonts w:cs="Arial"/>
                <w:color w:val="000000" w:themeColor="text1"/>
                <w:sz w:val="20"/>
                <w:szCs w:val="20"/>
              </w:rPr>
            </w:pPr>
          </w:p>
          <w:p w14:paraId="48E889F7" w14:textId="693FE2CE" w:rsidR="00880F3C" w:rsidRPr="00DE692F" w:rsidRDefault="00880F3C" w:rsidP="00880F3C">
            <w:pPr>
              <w:rPr>
                <w:rFonts w:cs="Arial"/>
                <w:color w:val="000000" w:themeColor="text1"/>
                <w:sz w:val="20"/>
                <w:szCs w:val="20"/>
              </w:rPr>
            </w:pPr>
            <w:r w:rsidRPr="00DE692F">
              <w:rPr>
                <w:rFonts w:cs="Arial"/>
                <w:color w:val="000000" w:themeColor="text1"/>
                <w:sz w:val="20"/>
                <w:szCs w:val="20"/>
              </w:rPr>
              <w:t>Oficio CEPLAN</w:t>
            </w:r>
          </w:p>
        </w:tc>
        <w:tc>
          <w:tcPr>
            <w:tcW w:w="4406" w:type="dxa"/>
            <w:vAlign w:val="center"/>
          </w:tcPr>
          <w:p w14:paraId="1C01A2DF" w14:textId="495FC68F" w:rsidR="00880F3C" w:rsidRPr="00DE692F" w:rsidRDefault="00880F3C" w:rsidP="00880F3C">
            <w:pPr>
              <w:rPr>
                <w:rFonts w:cs="Arial"/>
                <w:color w:val="000000" w:themeColor="text1"/>
                <w:sz w:val="20"/>
                <w:szCs w:val="20"/>
              </w:rPr>
            </w:pPr>
            <w:hyperlink r:id="rId29" w:history="1">
              <w:r w:rsidRPr="00DE692F">
                <w:rPr>
                  <w:rStyle w:val="Hipervnculo"/>
                  <w:rFonts w:cs="Arial"/>
                  <w:sz w:val="20"/>
                  <w:szCs w:val="20"/>
                </w:rPr>
                <w:t>https://drive.googl</w:t>
              </w:r>
              <w:r w:rsidRPr="00DE692F">
                <w:rPr>
                  <w:rStyle w:val="Hipervnculo"/>
                  <w:rFonts w:cs="Arial"/>
                  <w:sz w:val="20"/>
                  <w:szCs w:val="20"/>
                </w:rPr>
                <w:t>e</w:t>
              </w:r>
              <w:r w:rsidRPr="00DE692F">
                <w:rPr>
                  <w:rStyle w:val="Hipervnculo"/>
                  <w:rFonts w:cs="Arial"/>
                  <w:sz w:val="20"/>
                  <w:szCs w:val="20"/>
                </w:rPr>
                <w:t>.com</w:t>
              </w:r>
              <w:r w:rsidRPr="00DE692F">
                <w:rPr>
                  <w:rStyle w:val="Hipervnculo"/>
                  <w:rFonts w:cs="Arial"/>
                  <w:sz w:val="20"/>
                  <w:szCs w:val="20"/>
                </w:rPr>
                <w:t>/</w:t>
              </w:r>
              <w:r w:rsidRPr="00DE692F">
                <w:rPr>
                  <w:rStyle w:val="Hipervnculo"/>
                  <w:rFonts w:cs="Arial"/>
                  <w:sz w:val="20"/>
                  <w:szCs w:val="20"/>
                </w:rPr>
                <w:t>open?id=1Mkfg0xDiSVziu_jxkMPEeCKVcJ7xyk79&amp;usp=drive_fs</w:t>
              </w:r>
            </w:hyperlink>
            <w:r w:rsidRPr="00DE692F">
              <w:rPr>
                <w:rFonts w:cs="Arial"/>
                <w:color w:val="000000" w:themeColor="text1"/>
                <w:sz w:val="20"/>
                <w:szCs w:val="20"/>
              </w:rPr>
              <w:t xml:space="preserve"> </w:t>
            </w:r>
          </w:p>
        </w:tc>
      </w:tr>
      <w:tr w:rsidR="00880F3C" w:rsidRPr="00DE692F" w14:paraId="2595BFEC" w14:textId="77777777" w:rsidTr="0082585F">
        <w:trPr>
          <w:trHeight w:val="300"/>
        </w:trPr>
        <w:tc>
          <w:tcPr>
            <w:tcW w:w="14868" w:type="dxa"/>
            <w:gridSpan w:val="4"/>
            <w:vAlign w:val="center"/>
          </w:tcPr>
          <w:p w14:paraId="4A0464A4" w14:textId="5E88CC10" w:rsidR="00880F3C" w:rsidRPr="00DE692F" w:rsidRDefault="00880F3C" w:rsidP="00880F3C">
            <w:pPr>
              <w:rPr>
                <w:rFonts w:cs="Arial"/>
                <w:color w:val="000000" w:themeColor="text1"/>
                <w:sz w:val="20"/>
                <w:szCs w:val="20"/>
              </w:rPr>
            </w:pPr>
            <w:r w:rsidRPr="00DE692F">
              <w:rPr>
                <w:b/>
                <w:bCs/>
                <w:color w:val="000000"/>
                <w:sz w:val="20"/>
                <w:szCs w:val="20"/>
              </w:rPr>
              <w:t>Resultado 2</w:t>
            </w:r>
          </w:p>
        </w:tc>
      </w:tr>
      <w:tr w:rsidR="00880F3C" w:rsidRPr="00DE692F" w14:paraId="0504525E" w14:textId="77777777" w:rsidTr="00A30651">
        <w:trPr>
          <w:trHeight w:val="300"/>
        </w:trPr>
        <w:tc>
          <w:tcPr>
            <w:tcW w:w="551" w:type="dxa"/>
            <w:vAlign w:val="center"/>
          </w:tcPr>
          <w:p w14:paraId="24C56574" w14:textId="77777777" w:rsidR="00880F3C" w:rsidRPr="00DE692F" w:rsidRDefault="00880F3C" w:rsidP="00880F3C">
            <w:pPr>
              <w:pStyle w:val="Prrafodelista"/>
              <w:numPr>
                <w:ilvl w:val="0"/>
                <w:numId w:val="27"/>
              </w:numPr>
              <w:rPr>
                <w:rFonts w:ascii="Arial" w:hAnsi="Arial" w:cs="Arial"/>
                <w:color w:val="000000" w:themeColor="text1"/>
                <w:sz w:val="20"/>
                <w:szCs w:val="20"/>
              </w:rPr>
            </w:pPr>
          </w:p>
        </w:tc>
        <w:tc>
          <w:tcPr>
            <w:tcW w:w="5103" w:type="dxa"/>
            <w:vAlign w:val="center"/>
          </w:tcPr>
          <w:p w14:paraId="43D1C8B7" w14:textId="1400AC49" w:rsidR="00880F3C" w:rsidRPr="00DE692F" w:rsidRDefault="00880F3C" w:rsidP="00880F3C">
            <w:pPr>
              <w:rPr>
                <w:rFonts w:cs="Arial"/>
                <w:color w:val="000000" w:themeColor="text1"/>
                <w:sz w:val="20"/>
                <w:szCs w:val="20"/>
              </w:rPr>
            </w:pPr>
            <w:r w:rsidRPr="00DE692F">
              <w:rPr>
                <w:rFonts w:cs="Arial"/>
                <w:color w:val="000000" w:themeColor="text1"/>
                <w:sz w:val="20"/>
                <w:szCs w:val="20"/>
              </w:rPr>
              <w:t>Producto 1.2.1</w:t>
            </w:r>
          </w:p>
        </w:tc>
        <w:tc>
          <w:tcPr>
            <w:tcW w:w="4808" w:type="dxa"/>
            <w:vAlign w:val="center"/>
          </w:tcPr>
          <w:p w14:paraId="6BB4670A"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Cusaf en San Ignacio (Resolución y expedientes)</w:t>
            </w:r>
          </w:p>
          <w:p w14:paraId="02E1DF26" w14:textId="77777777" w:rsidR="007F5737" w:rsidRPr="007F5737" w:rsidRDefault="007F5737" w:rsidP="007F5737">
            <w:pPr>
              <w:rPr>
                <w:rFonts w:cs="Arial"/>
                <w:color w:val="000000" w:themeColor="text1"/>
                <w:sz w:val="20"/>
                <w:szCs w:val="20"/>
              </w:rPr>
            </w:pPr>
          </w:p>
          <w:p w14:paraId="620DE973" w14:textId="2E3A79AA" w:rsidR="00880F3C" w:rsidRPr="00DE692F" w:rsidRDefault="007F5737" w:rsidP="007F5737">
            <w:pPr>
              <w:rPr>
                <w:rFonts w:cs="Arial"/>
                <w:color w:val="000000" w:themeColor="text1"/>
                <w:sz w:val="20"/>
                <w:szCs w:val="20"/>
              </w:rPr>
            </w:pPr>
            <w:r w:rsidRPr="007F5737">
              <w:rPr>
                <w:rFonts w:cs="Arial"/>
                <w:color w:val="000000" w:themeColor="text1"/>
                <w:sz w:val="20"/>
                <w:szCs w:val="20"/>
              </w:rPr>
              <w:t xml:space="preserve">Cusaf en Alto Amazonas (Productos 1, 2 y 3 del “Servicio especializado en Sistemas Agroforestales (SAF) para la validación físico legal de la propuesta de polígono para el otorgamiento de Contratos en </w:t>
            </w:r>
            <w:r w:rsidRPr="007F5737">
              <w:rPr>
                <w:rFonts w:cs="Arial"/>
                <w:color w:val="000000" w:themeColor="text1"/>
                <w:sz w:val="20"/>
                <w:szCs w:val="20"/>
              </w:rPr>
              <w:lastRenderedPageBreak/>
              <w:t>Cesión de Uso para Sistemas Agroforestales (CCUSAF) para la Autoridad Regional Forestal y de Fauna Silvestre (ARFFS) de Loreto, ámbito de la provincia de Alto Amazonas”</w:t>
            </w:r>
          </w:p>
        </w:tc>
        <w:tc>
          <w:tcPr>
            <w:tcW w:w="4406" w:type="dxa"/>
            <w:vAlign w:val="center"/>
          </w:tcPr>
          <w:p w14:paraId="4AC1B9DE" w14:textId="42EB5EA2" w:rsidR="00880F3C" w:rsidRPr="00DE692F" w:rsidRDefault="00880F3C" w:rsidP="00880F3C">
            <w:pPr>
              <w:rPr>
                <w:rFonts w:cs="Arial"/>
                <w:color w:val="000000" w:themeColor="text1"/>
                <w:sz w:val="20"/>
                <w:szCs w:val="20"/>
              </w:rPr>
            </w:pPr>
            <w:hyperlink r:id="rId30" w:history="1">
              <w:r w:rsidRPr="00DE692F">
                <w:rPr>
                  <w:rStyle w:val="Hipervnculo"/>
                  <w:rFonts w:cs="Arial"/>
                  <w:sz w:val="20"/>
                  <w:szCs w:val="20"/>
                </w:rPr>
                <w:t>https://drive.g</w:t>
              </w:r>
              <w:r w:rsidRPr="00DE692F">
                <w:rPr>
                  <w:rStyle w:val="Hipervnculo"/>
                  <w:rFonts w:cs="Arial"/>
                  <w:sz w:val="20"/>
                  <w:szCs w:val="20"/>
                </w:rPr>
                <w:t>o</w:t>
              </w:r>
              <w:r w:rsidRPr="00DE692F">
                <w:rPr>
                  <w:rStyle w:val="Hipervnculo"/>
                  <w:rFonts w:cs="Arial"/>
                  <w:sz w:val="20"/>
                  <w:szCs w:val="20"/>
                </w:rPr>
                <w:t>ogle.com/open?id=1WSLtox3iJbYntqp35nMoccLQRbFZvRN8&amp;usp=drive_fs</w:t>
              </w:r>
            </w:hyperlink>
            <w:r w:rsidRPr="00DE692F">
              <w:rPr>
                <w:rFonts w:cs="Arial"/>
                <w:color w:val="000000" w:themeColor="text1"/>
                <w:sz w:val="20"/>
                <w:szCs w:val="20"/>
              </w:rPr>
              <w:t xml:space="preserve"> </w:t>
            </w:r>
          </w:p>
        </w:tc>
      </w:tr>
      <w:tr w:rsidR="00880F3C" w:rsidRPr="00DE692F" w14:paraId="254E1E47" w14:textId="77777777" w:rsidTr="00F15112">
        <w:trPr>
          <w:trHeight w:val="300"/>
        </w:trPr>
        <w:tc>
          <w:tcPr>
            <w:tcW w:w="14868" w:type="dxa"/>
            <w:gridSpan w:val="4"/>
            <w:vAlign w:val="center"/>
          </w:tcPr>
          <w:p w14:paraId="4253D639" w14:textId="5731B556" w:rsidR="00880F3C" w:rsidRPr="00DE692F" w:rsidRDefault="00880F3C" w:rsidP="00880F3C">
            <w:pPr>
              <w:jc w:val="left"/>
              <w:rPr>
                <w:rFonts w:cs="Arial"/>
                <w:color w:val="000000" w:themeColor="text1"/>
                <w:sz w:val="20"/>
                <w:szCs w:val="20"/>
              </w:rPr>
            </w:pPr>
            <w:r w:rsidRPr="00DE692F">
              <w:rPr>
                <w:b/>
                <w:bCs/>
                <w:color w:val="000000"/>
                <w:sz w:val="20"/>
                <w:szCs w:val="20"/>
              </w:rPr>
              <w:t>COMPONENTE 2</w:t>
            </w:r>
          </w:p>
        </w:tc>
      </w:tr>
      <w:tr w:rsidR="00880F3C" w:rsidRPr="00DE692F" w14:paraId="5EDBCBF0" w14:textId="77777777" w:rsidTr="001D6B29">
        <w:trPr>
          <w:trHeight w:val="300"/>
        </w:trPr>
        <w:tc>
          <w:tcPr>
            <w:tcW w:w="14868" w:type="dxa"/>
            <w:gridSpan w:val="4"/>
            <w:vAlign w:val="center"/>
          </w:tcPr>
          <w:p w14:paraId="5B5173FE" w14:textId="5164676A" w:rsidR="00880F3C" w:rsidRPr="00DE692F" w:rsidRDefault="00880F3C" w:rsidP="00880F3C">
            <w:pPr>
              <w:jc w:val="left"/>
              <w:rPr>
                <w:rFonts w:cs="Arial"/>
                <w:color w:val="000000" w:themeColor="text1"/>
                <w:sz w:val="20"/>
                <w:szCs w:val="20"/>
              </w:rPr>
            </w:pPr>
            <w:r w:rsidRPr="00DE692F">
              <w:rPr>
                <w:b/>
                <w:bCs/>
                <w:color w:val="000000"/>
                <w:sz w:val="20"/>
                <w:szCs w:val="20"/>
              </w:rPr>
              <w:t>Resultado 3</w:t>
            </w:r>
          </w:p>
        </w:tc>
      </w:tr>
      <w:tr w:rsidR="0062490F" w:rsidRPr="00DE692F" w14:paraId="736DC72E" w14:textId="77777777" w:rsidTr="00A30651">
        <w:trPr>
          <w:trHeight w:val="300"/>
        </w:trPr>
        <w:tc>
          <w:tcPr>
            <w:tcW w:w="551" w:type="dxa"/>
            <w:vAlign w:val="center"/>
          </w:tcPr>
          <w:p w14:paraId="0796BFD6" w14:textId="77777777" w:rsidR="0062490F" w:rsidRPr="00DE692F" w:rsidRDefault="0062490F" w:rsidP="00880F3C">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3D4A3AE0" w14:textId="79C02AD8" w:rsidR="0062490F" w:rsidRPr="00DE692F" w:rsidRDefault="0062490F" w:rsidP="00880F3C">
            <w:pPr>
              <w:rPr>
                <w:rFonts w:cs="Arial"/>
                <w:color w:val="000000" w:themeColor="text1"/>
                <w:sz w:val="20"/>
                <w:szCs w:val="20"/>
              </w:rPr>
            </w:pPr>
            <w:r w:rsidRPr="00DE692F">
              <w:rPr>
                <w:rFonts w:cs="Arial"/>
                <w:color w:val="000000" w:themeColor="text1"/>
                <w:sz w:val="20"/>
                <w:szCs w:val="20"/>
              </w:rPr>
              <w:t>Producto 2.1.1</w:t>
            </w:r>
          </w:p>
        </w:tc>
        <w:tc>
          <w:tcPr>
            <w:tcW w:w="4808" w:type="dxa"/>
            <w:vAlign w:val="center"/>
          </w:tcPr>
          <w:p w14:paraId="2B9A5CDD"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Convocatoria N° 035-2025-GEF ID 10307-FOLUR: Servicio de un especialista para la georreferenciación, poligonización de parcelas demostrativas, módulos de cosecha y postcosecha, y viveros forestales para el cultivo de cacao y café en la región San Martín aprobados</w:t>
            </w:r>
          </w:p>
          <w:p w14:paraId="5BE94B79" w14:textId="77777777" w:rsidR="007F5737" w:rsidRPr="007F5737" w:rsidRDefault="007F5737" w:rsidP="007F5737">
            <w:pPr>
              <w:rPr>
                <w:rFonts w:cs="Arial"/>
                <w:color w:val="000000" w:themeColor="text1"/>
                <w:sz w:val="20"/>
                <w:szCs w:val="20"/>
              </w:rPr>
            </w:pPr>
          </w:p>
          <w:p w14:paraId="20013BD9"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Convocatoria N° 036-2025-GEF ID 10307-FOLUR: Servicio de un especialista para el procesamiento de imágenes multiespectrales de parcelas demostrativas, módulos de cosecha y postcosecha, y viveros forestales para el cultivo de cacao y café en la región San Martín aprobados</w:t>
            </w:r>
          </w:p>
          <w:p w14:paraId="6A61B3F8" w14:textId="77777777" w:rsidR="007F5737" w:rsidRPr="007F5737" w:rsidRDefault="007F5737" w:rsidP="007F5737">
            <w:pPr>
              <w:rPr>
                <w:rFonts w:cs="Arial"/>
                <w:color w:val="000000" w:themeColor="text1"/>
                <w:sz w:val="20"/>
                <w:szCs w:val="20"/>
              </w:rPr>
            </w:pPr>
          </w:p>
          <w:p w14:paraId="41421D84"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Convocatoria N° 037-2025-GEF ID 10307-FOLUR: Servicio para el diseño de guías de buenas prácticas agrícolas sostenibles para el cultivo de cacao en la región San Martín en el marco del Proyecto FOLUR - GEF 10307 aprobados</w:t>
            </w:r>
          </w:p>
          <w:p w14:paraId="2073246D" w14:textId="77777777" w:rsidR="007F5737" w:rsidRPr="007F5737" w:rsidRDefault="007F5737" w:rsidP="007F5737">
            <w:pPr>
              <w:rPr>
                <w:rFonts w:cs="Arial"/>
                <w:color w:val="000000" w:themeColor="text1"/>
                <w:sz w:val="20"/>
                <w:szCs w:val="20"/>
              </w:rPr>
            </w:pPr>
          </w:p>
          <w:p w14:paraId="7C492A68"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Convocatoria N° 038-2025-GEF ID 10307-FOLUR: Servicio para el diseño de guías de buenas prácticas agrícolas sostenibles para el cultivo de café en la región San Martín en el marco del Proyecto FOLUR - GEF 10307 aprobados</w:t>
            </w:r>
          </w:p>
          <w:p w14:paraId="1DECDC8E" w14:textId="77777777" w:rsidR="007F5737" w:rsidRPr="007F5737" w:rsidRDefault="007F5737" w:rsidP="007F5737">
            <w:pPr>
              <w:rPr>
                <w:rFonts w:cs="Arial"/>
                <w:color w:val="000000" w:themeColor="text1"/>
                <w:sz w:val="20"/>
                <w:szCs w:val="20"/>
              </w:rPr>
            </w:pPr>
          </w:p>
          <w:p w14:paraId="22D60855"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t>Convocatoria N° 033-2025-GEF ID 10307-FOLUR: Servicio de Especialista para Elaboración de Diseño Arquitectónico, Estructural, Sanitario y Eléctrico de Módulos de Post Cosecha para el Cultivo de Café y Cacao en la Región San Martín aprobados</w:t>
            </w:r>
          </w:p>
          <w:p w14:paraId="080A6911" w14:textId="77777777" w:rsidR="007F5737" w:rsidRPr="007F5737" w:rsidRDefault="007F5737" w:rsidP="007F5737">
            <w:pPr>
              <w:rPr>
                <w:rFonts w:cs="Arial"/>
                <w:color w:val="000000" w:themeColor="text1"/>
                <w:sz w:val="20"/>
                <w:szCs w:val="20"/>
              </w:rPr>
            </w:pPr>
          </w:p>
          <w:p w14:paraId="126D6FE5" w14:textId="77777777" w:rsidR="007F5737" w:rsidRPr="007F5737" w:rsidRDefault="007F5737" w:rsidP="007F5737">
            <w:pPr>
              <w:rPr>
                <w:rFonts w:cs="Arial"/>
                <w:color w:val="000000" w:themeColor="text1"/>
                <w:sz w:val="20"/>
                <w:szCs w:val="20"/>
              </w:rPr>
            </w:pPr>
            <w:r w:rsidRPr="007F5737">
              <w:rPr>
                <w:rFonts w:cs="Arial"/>
                <w:color w:val="000000" w:themeColor="text1"/>
                <w:sz w:val="20"/>
                <w:szCs w:val="20"/>
              </w:rPr>
              <w:lastRenderedPageBreak/>
              <w:t>Convocatoria N° 039-2025-GEF ID 10307-FOLUR: Servicio para elaboración de costos y presupuestos de los expedientes técnicos de los cultivos de café y cacao para el Gobierno Regional aprobados</w:t>
            </w:r>
          </w:p>
          <w:p w14:paraId="0B6A58F2" w14:textId="77777777" w:rsidR="007F5737" w:rsidRPr="007F5737" w:rsidRDefault="007F5737" w:rsidP="007F5737">
            <w:pPr>
              <w:rPr>
                <w:rFonts w:cs="Arial"/>
                <w:color w:val="000000" w:themeColor="text1"/>
                <w:sz w:val="20"/>
                <w:szCs w:val="20"/>
              </w:rPr>
            </w:pPr>
          </w:p>
          <w:p w14:paraId="28960930" w14:textId="09E2EA99" w:rsidR="0062490F" w:rsidRPr="00DE692F" w:rsidRDefault="007F5737" w:rsidP="007F5737">
            <w:pPr>
              <w:rPr>
                <w:rFonts w:cs="Arial"/>
                <w:color w:val="000000" w:themeColor="text1"/>
                <w:sz w:val="20"/>
                <w:szCs w:val="20"/>
              </w:rPr>
            </w:pPr>
            <w:r w:rsidRPr="007F5737">
              <w:rPr>
                <w:rFonts w:cs="Arial"/>
                <w:color w:val="000000" w:themeColor="text1"/>
                <w:sz w:val="20"/>
                <w:szCs w:val="20"/>
              </w:rPr>
              <w:t>Convocatoria N° 031-2025-GEF ID 10307-FOLUR: Servicio elaboración del contenido y materiales para el desarrollo del Programa Curricular Especializado en la producción sostenible del café, dirigido a extensionista de la región Cajamarca aprobados</w:t>
            </w:r>
          </w:p>
          <w:p w14:paraId="63C17DD0" w14:textId="145A45D4" w:rsidR="0062490F" w:rsidRPr="00DE692F" w:rsidRDefault="0062490F" w:rsidP="0062490F">
            <w:pPr>
              <w:rPr>
                <w:rFonts w:cs="Arial"/>
                <w:color w:val="000000" w:themeColor="text1"/>
                <w:sz w:val="20"/>
                <w:szCs w:val="20"/>
              </w:rPr>
            </w:pPr>
          </w:p>
        </w:tc>
        <w:tc>
          <w:tcPr>
            <w:tcW w:w="4406" w:type="dxa"/>
            <w:vAlign w:val="center"/>
          </w:tcPr>
          <w:p w14:paraId="1104779F" w14:textId="1EB73F97" w:rsidR="0062490F" w:rsidRPr="00DE692F" w:rsidRDefault="0062490F" w:rsidP="00880F3C">
            <w:pPr>
              <w:rPr>
                <w:rFonts w:cs="Arial"/>
                <w:color w:val="000000" w:themeColor="text1"/>
                <w:sz w:val="20"/>
                <w:szCs w:val="20"/>
              </w:rPr>
            </w:pPr>
            <w:hyperlink r:id="rId31" w:history="1">
              <w:r w:rsidRPr="00DE692F">
                <w:rPr>
                  <w:rStyle w:val="Hipervnculo"/>
                  <w:rFonts w:cs="Arial"/>
                  <w:sz w:val="20"/>
                  <w:szCs w:val="20"/>
                </w:rPr>
                <w:t>https://drive.google.com/drive/folders/14mi47px5i--o3rEqRVrzuCWVc8_m55QV?usp=sharing</w:t>
              </w:r>
            </w:hyperlink>
            <w:r w:rsidRPr="00DE692F">
              <w:rPr>
                <w:rFonts w:cs="Arial"/>
                <w:color w:val="000000" w:themeColor="text1"/>
                <w:sz w:val="20"/>
                <w:szCs w:val="20"/>
              </w:rPr>
              <w:t xml:space="preserve"> </w:t>
            </w:r>
          </w:p>
        </w:tc>
      </w:tr>
      <w:tr w:rsidR="0062490F" w:rsidRPr="00DE692F" w14:paraId="0170D34E" w14:textId="77777777" w:rsidTr="00A30651">
        <w:trPr>
          <w:trHeight w:val="300"/>
        </w:trPr>
        <w:tc>
          <w:tcPr>
            <w:tcW w:w="551" w:type="dxa"/>
            <w:vAlign w:val="center"/>
          </w:tcPr>
          <w:p w14:paraId="557F274C" w14:textId="77777777" w:rsidR="0062490F" w:rsidRPr="00DE692F" w:rsidRDefault="0062490F" w:rsidP="00880F3C">
            <w:pPr>
              <w:pStyle w:val="Prrafodelista"/>
              <w:numPr>
                <w:ilvl w:val="0"/>
                <w:numId w:val="27"/>
              </w:numPr>
              <w:rPr>
                <w:rFonts w:ascii="Arial" w:hAnsi="Arial" w:cs="Arial"/>
                <w:color w:val="000000" w:themeColor="text1"/>
                <w:sz w:val="20"/>
                <w:szCs w:val="20"/>
              </w:rPr>
            </w:pPr>
          </w:p>
        </w:tc>
        <w:tc>
          <w:tcPr>
            <w:tcW w:w="5103" w:type="dxa"/>
            <w:vMerge/>
            <w:vAlign w:val="center"/>
          </w:tcPr>
          <w:p w14:paraId="0A13648E" w14:textId="265303B6" w:rsidR="0062490F" w:rsidRPr="00DE692F" w:rsidRDefault="0062490F" w:rsidP="00880F3C">
            <w:pPr>
              <w:rPr>
                <w:rFonts w:cs="Arial"/>
                <w:color w:val="000000" w:themeColor="text1"/>
                <w:sz w:val="20"/>
                <w:szCs w:val="20"/>
              </w:rPr>
            </w:pPr>
          </w:p>
        </w:tc>
        <w:tc>
          <w:tcPr>
            <w:tcW w:w="4808" w:type="dxa"/>
            <w:vAlign w:val="center"/>
          </w:tcPr>
          <w:p w14:paraId="75ED6275" w14:textId="77777777" w:rsidR="0062490F" w:rsidRPr="00DE692F" w:rsidRDefault="0062490F" w:rsidP="0062490F">
            <w:pPr>
              <w:rPr>
                <w:rFonts w:cs="Arial"/>
                <w:color w:val="000000" w:themeColor="text1"/>
                <w:sz w:val="20"/>
                <w:szCs w:val="20"/>
              </w:rPr>
            </w:pPr>
            <w:r w:rsidRPr="00DE692F">
              <w:rPr>
                <w:rFonts w:cs="Arial"/>
                <w:color w:val="000000" w:themeColor="text1"/>
                <w:sz w:val="20"/>
                <w:szCs w:val="20"/>
              </w:rPr>
              <w:t>Primer y segundo producto del Servicio de asistencia técnica en el manejo de post cosecha a productores y productoras de cafés diferenciados de las provincias de Bongará, Bagua, Utcubamba y Rodríguez de Mendoza en la región Amazonas aprobado</w:t>
            </w:r>
          </w:p>
          <w:p w14:paraId="2EE71286" w14:textId="77777777" w:rsidR="0062490F" w:rsidRPr="00DE692F" w:rsidRDefault="0062490F" w:rsidP="0062490F">
            <w:pPr>
              <w:rPr>
                <w:rFonts w:cs="Arial"/>
                <w:color w:val="000000" w:themeColor="text1"/>
                <w:sz w:val="20"/>
                <w:szCs w:val="20"/>
              </w:rPr>
            </w:pPr>
          </w:p>
          <w:p w14:paraId="25055C2D" w14:textId="71BE676F" w:rsidR="0062490F" w:rsidRPr="00DE692F" w:rsidRDefault="0062490F" w:rsidP="0062490F">
            <w:pPr>
              <w:rPr>
                <w:rFonts w:cs="Arial"/>
                <w:color w:val="000000" w:themeColor="text1"/>
                <w:sz w:val="20"/>
                <w:szCs w:val="20"/>
              </w:rPr>
            </w:pPr>
            <w:r w:rsidRPr="00DE692F">
              <w:rPr>
                <w:rFonts w:cs="Arial"/>
                <w:color w:val="000000" w:themeColor="text1"/>
                <w:sz w:val="20"/>
                <w:szCs w:val="20"/>
              </w:rPr>
              <w:t>Tdr presentado Servicio de consultoría para realizar asistencia técnica a los productores en el paquete técnico agroecológico de cacao con sistemas agroforestales (SAF), en la jurisdicción de la Reserva Comunal Chayu Nain.</w:t>
            </w:r>
          </w:p>
        </w:tc>
        <w:tc>
          <w:tcPr>
            <w:tcW w:w="4406" w:type="dxa"/>
            <w:vAlign w:val="center"/>
          </w:tcPr>
          <w:p w14:paraId="59ADF3DA" w14:textId="24672645" w:rsidR="0062490F" w:rsidRPr="00DE692F" w:rsidRDefault="0062490F" w:rsidP="00880F3C">
            <w:pPr>
              <w:rPr>
                <w:rFonts w:cs="Arial"/>
                <w:color w:val="000000" w:themeColor="text1"/>
                <w:sz w:val="20"/>
                <w:szCs w:val="20"/>
              </w:rPr>
            </w:pPr>
            <w:hyperlink r:id="rId32" w:history="1">
              <w:r w:rsidRPr="00DE692F">
                <w:rPr>
                  <w:rStyle w:val="Hipervnculo"/>
                  <w:rFonts w:cs="Arial"/>
                  <w:sz w:val="20"/>
                  <w:szCs w:val="20"/>
                </w:rPr>
                <w:t>https://drive.google.com/open?id=1Y2OLhqZ6i6yWK2Gd73qYQeclT1cpxOCi&amp;usp=drive_fs</w:t>
              </w:r>
            </w:hyperlink>
            <w:r w:rsidRPr="00DE692F">
              <w:rPr>
                <w:rFonts w:cs="Arial"/>
                <w:color w:val="000000" w:themeColor="text1"/>
                <w:sz w:val="20"/>
                <w:szCs w:val="20"/>
              </w:rPr>
              <w:t xml:space="preserve"> </w:t>
            </w:r>
          </w:p>
        </w:tc>
      </w:tr>
      <w:tr w:rsidR="009811A1" w:rsidRPr="00DE692F" w14:paraId="5697D846" w14:textId="77777777" w:rsidTr="00A30651">
        <w:trPr>
          <w:trHeight w:val="300"/>
        </w:trPr>
        <w:tc>
          <w:tcPr>
            <w:tcW w:w="551" w:type="dxa"/>
            <w:vAlign w:val="center"/>
          </w:tcPr>
          <w:p w14:paraId="60671A65" w14:textId="77777777" w:rsidR="009811A1" w:rsidRPr="00DE692F" w:rsidRDefault="009811A1" w:rsidP="0062490F">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6E6C8455" w14:textId="63CEFA85" w:rsidR="009811A1" w:rsidRPr="00DE692F" w:rsidRDefault="009811A1" w:rsidP="0062490F">
            <w:pPr>
              <w:rPr>
                <w:rFonts w:cs="Arial"/>
                <w:color w:val="000000" w:themeColor="text1"/>
                <w:sz w:val="20"/>
                <w:szCs w:val="20"/>
              </w:rPr>
            </w:pPr>
            <w:r w:rsidRPr="00DE692F">
              <w:rPr>
                <w:rFonts w:cs="Arial"/>
                <w:color w:val="000000" w:themeColor="text1"/>
                <w:sz w:val="20"/>
                <w:szCs w:val="20"/>
              </w:rPr>
              <w:t>Producto 2.1.2</w:t>
            </w:r>
          </w:p>
        </w:tc>
        <w:tc>
          <w:tcPr>
            <w:tcW w:w="4808" w:type="dxa"/>
            <w:vAlign w:val="center"/>
          </w:tcPr>
          <w:p w14:paraId="7A208804"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t>Plataforma Multiactor de Café de Cajamarca.</w:t>
            </w:r>
          </w:p>
          <w:p w14:paraId="4D0F02C7" w14:textId="4AC8CDA1" w:rsidR="009811A1" w:rsidRPr="00DE692F" w:rsidRDefault="009811A1" w:rsidP="0062490F">
            <w:pPr>
              <w:rPr>
                <w:rFonts w:cs="Arial"/>
                <w:color w:val="000000" w:themeColor="text1"/>
                <w:sz w:val="20"/>
                <w:szCs w:val="20"/>
              </w:rPr>
            </w:pPr>
            <w:r w:rsidRPr="00DE692F">
              <w:rPr>
                <w:rFonts w:cs="Arial"/>
                <w:color w:val="000000" w:themeColor="text1"/>
                <w:sz w:val="20"/>
                <w:szCs w:val="20"/>
              </w:rPr>
              <w:t>- Gestión de pago del servicio:</w:t>
            </w:r>
          </w:p>
          <w:p w14:paraId="53EA79EA" w14:textId="60BB082C" w:rsidR="009811A1" w:rsidRPr="00DE692F" w:rsidRDefault="009811A1" w:rsidP="0062490F">
            <w:pPr>
              <w:rPr>
                <w:rFonts w:cs="Arial"/>
                <w:color w:val="000000" w:themeColor="text1"/>
                <w:sz w:val="20"/>
                <w:szCs w:val="20"/>
              </w:rPr>
            </w:pPr>
            <w:r w:rsidRPr="00DE692F">
              <w:rPr>
                <w:rFonts w:cs="Arial"/>
                <w:color w:val="000000" w:themeColor="text1"/>
                <w:sz w:val="20"/>
                <w:szCs w:val="20"/>
              </w:rPr>
              <w:t>Servicio: Capacitación en catación de café para promotores de calidad de organizaciones productoras de café en la región Cajamarca (provincias de Jaén y San Ignacio), en el marco del Proyecto GEF 10307 “Cadenas de valor libres de deforestación en la Amazonía peruana” (Proyecto FOLUR) - Del 22 al 248 de octubre en Bagua.</w:t>
            </w:r>
          </w:p>
          <w:p w14:paraId="6553D5E1"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t>MTR Café Amazonas.</w:t>
            </w:r>
          </w:p>
          <w:p w14:paraId="5C410AB4" w14:textId="5E727184" w:rsidR="009811A1" w:rsidRPr="00DE692F" w:rsidRDefault="009811A1" w:rsidP="0062490F">
            <w:pPr>
              <w:rPr>
                <w:rFonts w:cs="Arial"/>
                <w:color w:val="000000" w:themeColor="text1"/>
                <w:sz w:val="20"/>
                <w:szCs w:val="20"/>
              </w:rPr>
            </w:pPr>
            <w:r w:rsidRPr="00DE692F">
              <w:rPr>
                <w:rFonts w:cs="Arial"/>
                <w:color w:val="000000" w:themeColor="text1"/>
                <w:sz w:val="20"/>
                <w:szCs w:val="20"/>
              </w:rPr>
              <w:t>- Gestión de pago del producto 1 y 2:</w:t>
            </w:r>
          </w:p>
          <w:p w14:paraId="46447FCB" w14:textId="320E1150" w:rsidR="009811A1" w:rsidRPr="00DE692F" w:rsidRDefault="009811A1" w:rsidP="0062490F">
            <w:pPr>
              <w:rPr>
                <w:rFonts w:cs="Arial"/>
                <w:color w:val="000000" w:themeColor="text1"/>
                <w:sz w:val="20"/>
                <w:szCs w:val="20"/>
              </w:rPr>
            </w:pPr>
            <w:r w:rsidRPr="00DE692F">
              <w:rPr>
                <w:rFonts w:cs="Arial"/>
                <w:color w:val="000000" w:themeColor="text1"/>
                <w:sz w:val="20"/>
                <w:szCs w:val="20"/>
              </w:rPr>
              <w:t>Servicio de talleres de fertilización a productores y productoras de cafés de las provincias de Bongará, Bagua, Utcubamba y Rodríguez de Mendoza en la región Amazonas.</w:t>
            </w:r>
          </w:p>
          <w:p w14:paraId="4CE777DF"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lastRenderedPageBreak/>
              <w:t>MT Cacao Amazonas:</w:t>
            </w:r>
          </w:p>
          <w:p w14:paraId="66EE79C8" w14:textId="493324D9" w:rsidR="009811A1" w:rsidRPr="00DE692F" w:rsidRDefault="009811A1" w:rsidP="0062490F">
            <w:pPr>
              <w:rPr>
                <w:rFonts w:cs="Arial"/>
                <w:color w:val="000000" w:themeColor="text1"/>
                <w:sz w:val="20"/>
                <w:szCs w:val="20"/>
              </w:rPr>
            </w:pPr>
            <w:r w:rsidRPr="00DE692F">
              <w:rPr>
                <w:rFonts w:cs="Arial"/>
                <w:color w:val="000000" w:themeColor="text1"/>
                <w:sz w:val="20"/>
                <w:szCs w:val="20"/>
              </w:rPr>
              <w:t>- Gestión de pago del servicio:</w:t>
            </w:r>
          </w:p>
          <w:p w14:paraId="65C2CA57" w14:textId="04422672" w:rsidR="009811A1" w:rsidRPr="00DE692F" w:rsidRDefault="009811A1" w:rsidP="0062490F">
            <w:pPr>
              <w:rPr>
                <w:rFonts w:cs="Arial"/>
                <w:color w:val="000000" w:themeColor="text1"/>
                <w:sz w:val="20"/>
                <w:szCs w:val="20"/>
              </w:rPr>
            </w:pPr>
            <w:r w:rsidRPr="00DE692F">
              <w:rPr>
                <w:rFonts w:cs="Arial"/>
                <w:color w:val="000000" w:themeColor="text1"/>
                <w:sz w:val="20"/>
                <w:szCs w:val="20"/>
              </w:rPr>
              <w:t>Servicio: Capacitación en catación de cacao para promotores de calidad de organizaciones productoras de cacao en la región Amazonas, en el marco del Proyecto GEF 10307 “Cadenas de valor libres de deforestación en la Amazonía peruana” (Proyecto FOLUR) – Del 15 al 18 de octubre en Jaén.</w:t>
            </w:r>
          </w:p>
          <w:p w14:paraId="7CD95FE4"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t>MTR Café San Martín</w:t>
            </w:r>
          </w:p>
          <w:p w14:paraId="3A40AA6F" w14:textId="78C994CA" w:rsidR="009811A1" w:rsidRPr="00DE692F" w:rsidRDefault="009811A1" w:rsidP="0062490F">
            <w:pPr>
              <w:rPr>
                <w:rFonts w:cs="Arial"/>
                <w:color w:val="000000" w:themeColor="text1"/>
                <w:sz w:val="20"/>
                <w:szCs w:val="20"/>
              </w:rPr>
            </w:pPr>
            <w:r w:rsidRPr="00DE692F">
              <w:rPr>
                <w:rFonts w:cs="Arial"/>
                <w:color w:val="000000" w:themeColor="text1"/>
                <w:sz w:val="20"/>
                <w:szCs w:val="20"/>
              </w:rPr>
              <w:t>Lista de asistencia y Agenda de Asamblea Anual.</w:t>
            </w:r>
          </w:p>
          <w:p w14:paraId="5DD740DC"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t>MTR Cacao San Martín</w:t>
            </w:r>
          </w:p>
          <w:p w14:paraId="25E01E47" w14:textId="685DFE1E" w:rsidR="009811A1" w:rsidRPr="00DE692F" w:rsidRDefault="009811A1" w:rsidP="0062490F">
            <w:pPr>
              <w:rPr>
                <w:rFonts w:cs="Arial"/>
                <w:color w:val="000000" w:themeColor="text1"/>
                <w:sz w:val="20"/>
                <w:szCs w:val="20"/>
              </w:rPr>
            </w:pPr>
            <w:r w:rsidRPr="00DE692F">
              <w:rPr>
                <w:rFonts w:cs="Arial"/>
                <w:color w:val="000000" w:themeColor="text1"/>
                <w:sz w:val="20"/>
                <w:szCs w:val="20"/>
              </w:rPr>
              <w:t>Apoyo al presidente a participar en la FICACAO socializando la hoja de ruta de cacao sostenible.</w:t>
            </w:r>
          </w:p>
          <w:p w14:paraId="21F641EB" w14:textId="78EAC519" w:rsidR="009811A1" w:rsidRPr="00DE692F" w:rsidRDefault="009811A1" w:rsidP="0062490F">
            <w:pPr>
              <w:rPr>
                <w:rFonts w:cs="Arial"/>
                <w:color w:val="000000" w:themeColor="text1"/>
                <w:sz w:val="20"/>
                <w:szCs w:val="20"/>
              </w:rPr>
            </w:pPr>
            <w:r w:rsidRPr="00DE692F">
              <w:rPr>
                <w:rFonts w:cs="Arial"/>
                <w:color w:val="000000" w:themeColor="text1"/>
                <w:sz w:val="20"/>
                <w:szCs w:val="20"/>
              </w:rPr>
              <w:t>Aprobación de la Hoja de Ruta para el rendimiento sostenible por resolución regional.</w:t>
            </w:r>
          </w:p>
          <w:p w14:paraId="7F4B89B7" w14:textId="77777777" w:rsidR="009811A1" w:rsidRPr="00DE692F" w:rsidRDefault="009811A1" w:rsidP="0062490F">
            <w:pPr>
              <w:rPr>
                <w:rFonts w:cs="Arial"/>
                <w:color w:val="000000" w:themeColor="text1"/>
                <w:sz w:val="20"/>
                <w:szCs w:val="20"/>
              </w:rPr>
            </w:pPr>
            <w:r w:rsidRPr="00DE692F">
              <w:rPr>
                <w:rFonts w:cs="Arial"/>
                <w:color w:val="000000" w:themeColor="text1"/>
                <w:sz w:val="20"/>
                <w:szCs w:val="20"/>
              </w:rPr>
              <w:t>Todas las mesas técnicas (San Martín, Amazonas y Cajamarca)</w:t>
            </w:r>
          </w:p>
          <w:p w14:paraId="541DAEE8" w14:textId="6198481E" w:rsidR="009811A1" w:rsidRPr="00DE692F" w:rsidRDefault="009811A1" w:rsidP="0062490F">
            <w:pPr>
              <w:rPr>
                <w:rFonts w:cs="Arial"/>
                <w:color w:val="000000" w:themeColor="text1"/>
                <w:sz w:val="20"/>
                <w:szCs w:val="20"/>
              </w:rPr>
            </w:pPr>
            <w:r w:rsidRPr="00DE692F">
              <w:rPr>
                <w:rFonts w:cs="Arial"/>
                <w:color w:val="000000" w:themeColor="text1"/>
                <w:sz w:val="20"/>
                <w:szCs w:val="20"/>
              </w:rPr>
              <w:t>Desarrollo de módulos del programa de formación de lideresas.</w:t>
            </w:r>
          </w:p>
        </w:tc>
        <w:tc>
          <w:tcPr>
            <w:tcW w:w="4406" w:type="dxa"/>
            <w:vAlign w:val="center"/>
          </w:tcPr>
          <w:p w14:paraId="11CBE834" w14:textId="70CF7336" w:rsidR="009811A1" w:rsidRPr="00DE692F" w:rsidRDefault="009811A1" w:rsidP="0062490F">
            <w:pPr>
              <w:rPr>
                <w:rFonts w:cs="Arial"/>
                <w:color w:val="000000" w:themeColor="text1"/>
                <w:sz w:val="20"/>
                <w:szCs w:val="20"/>
              </w:rPr>
            </w:pPr>
            <w:hyperlink r:id="rId33" w:history="1">
              <w:r w:rsidRPr="00DE692F">
                <w:rPr>
                  <w:rStyle w:val="Hipervnculo"/>
                  <w:rFonts w:cs="Arial"/>
                  <w:sz w:val="20"/>
                  <w:szCs w:val="20"/>
                </w:rPr>
                <w:t>https://drive.google.com/open?id=1WkwWPKxPGlw9inEMrTvb6bLs5yDT2e5j&amp;usp=drive_fs</w:t>
              </w:r>
            </w:hyperlink>
            <w:r w:rsidRPr="00DE692F">
              <w:rPr>
                <w:rFonts w:cs="Arial"/>
                <w:color w:val="000000" w:themeColor="text1"/>
                <w:sz w:val="20"/>
                <w:szCs w:val="20"/>
              </w:rPr>
              <w:t xml:space="preserve"> </w:t>
            </w:r>
          </w:p>
        </w:tc>
      </w:tr>
      <w:tr w:rsidR="009811A1" w:rsidRPr="00DE692F" w14:paraId="46E818AB" w14:textId="77777777" w:rsidTr="00A30651">
        <w:trPr>
          <w:trHeight w:val="300"/>
        </w:trPr>
        <w:tc>
          <w:tcPr>
            <w:tcW w:w="551" w:type="dxa"/>
            <w:vAlign w:val="center"/>
          </w:tcPr>
          <w:p w14:paraId="1A50D6EA" w14:textId="77777777" w:rsidR="009811A1" w:rsidRPr="00DE692F" w:rsidRDefault="009811A1" w:rsidP="0062490F">
            <w:pPr>
              <w:pStyle w:val="Prrafodelista"/>
              <w:numPr>
                <w:ilvl w:val="0"/>
                <w:numId w:val="27"/>
              </w:numPr>
              <w:rPr>
                <w:rFonts w:ascii="Arial" w:hAnsi="Arial" w:cs="Arial"/>
                <w:color w:val="000000" w:themeColor="text1"/>
                <w:sz w:val="20"/>
                <w:szCs w:val="20"/>
              </w:rPr>
            </w:pPr>
          </w:p>
        </w:tc>
        <w:tc>
          <w:tcPr>
            <w:tcW w:w="5103" w:type="dxa"/>
            <w:vMerge/>
            <w:vAlign w:val="center"/>
          </w:tcPr>
          <w:p w14:paraId="2A518E8C" w14:textId="06483A48" w:rsidR="009811A1" w:rsidRPr="00DE692F" w:rsidRDefault="009811A1" w:rsidP="0062490F">
            <w:pPr>
              <w:rPr>
                <w:rFonts w:cs="Arial"/>
                <w:color w:val="000000" w:themeColor="text1"/>
                <w:sz w:val="20"/>
                <w:szCs w:val="20"/>
              </w:rPr>
            </w:pPr>
          </w:p>
        </w:tc>
        <w:tc>
          <w:tcPr>
            <w:tcW w:w="4808" w:type="dxa"/>
            <w:vAlign w:val="center"/>
          </w:tcPr>
          <w:p w14:paraId="15D66BE6" w14:textId="5B4985A6" w:rsidR="009811A1" w:rsidRPr="00DE692F" w:rsidRDefault="009811A1" w:rsidP="0062490F">
            <w:pPr>
              <w:rPr>
                <w:rFonts w:cs="Arial"/>
                <w:color w:val="000000" w:themeColor="text1"/>
                <w:sz w:val="20"/>
                <w:szCs w:val="20"/>
              </w:rPr>
            </w:pPr>
            <w:r w:rsidRPr="00DE692F">
              <w:rPr>
                <w:rFonts w:cs="Arial"/>
                <w:color w:val="000000" w:themeColor="text1"/>
                <w:sz w:val="20"/>
                <w:szCs w:val="20"/>
              </w:rPr>
              <w:t>Primer y segundo producto del Servicio para el fortalecimiento de los estatutos de las organizaciones de productores/as de café y cacao para la inclusión de criterios de género, interculturalidad e intergeneracional, así como de sostenibilidad ambiental y la prevención del trabajo infantil en el marco del Proyecto FOLUR aprobado</w:t>
            </w:r>
          </w:p>
        </w:tc>
        <w:tc>
          <w:tcPr>
            <w:tcW w:w="4406" w:type="dxa"/>
            <w:vAlign w:val="center"/>
          </w:tcPr>
          <w:p w14:paraId="5DF624A1" w14:textId="592BA057" w:rsidR="009811A1" w:rsidRPr="00DE692F" w:rsidRDefault="009811A1" w:rsidP="0062490F">
            <w:pPr>
              <w:rPr>
                <w:rFonts w:cs="Arial"/>
                <w:color w:val="000000" w:themeColor="text1"/>
                <w:sz w:val="20"/>
                <w:szCs w:val="20"/>
              </w:rPr>
            </w:pPr>
            <w:hyperlink r:id="rId34" w:history="1">
              <w:r w:rsidRPr="00DE692F">
                <w:rPr>
                  <w:rStyle w:val="Hipervnculo"/>
                  <w:rFonts w:cs="Arial"/>
                  <w:sz w:val="20"/>
                  <w:szCs w:val="20"/>
                </w:rPr>
                <w:t>https://drive.google.com/open?id=1fh2StzlvvIw2GRr7K5DVNr32d8DUwXOn&amp;usp=drive_fs</w:t>
              </w:r>
            </w:hyperlink>
            <w:r w:rsidRPr="00DE692F">
              <w:rPr>
                <w:rFonts w:cs="Arial"/>
                <w:color w:val="000000" w:themeColor="text1"/>
                <w:sz w:val="20"/>
                <w:szCs w:val="20"/>
              </w:rPr>
              <w:t xml:space="preserve"> </w:t>
            </w:r>
          </w:p>
        </w:tc>
      </w:tr>
      <w:tr w:rsidR="009811A1" w:rsidRPr="00DE692F" w14:paraId="04EEF9DD" w14:textId="77777777" w:rsidTr="00A30651">
        <w:trPr>
          <w:trHeight w:val="300"/>
        </w:trPr>
        <w:tc>
          <w:tcPr>
            <w:tcW w:w="551" w:type="dxa"/>
            <w:vAlign w:val="center"/>
          </w:tcPr>
          <w:p w14:paraId="51072C57" w14:textId="77777777" w:rsidR="009811A1" w:rsidRPr="00DE692F" w:rsidRDefault="009811A1" w:rsidP="0062490F">
            <w:pPr>
              <w:pStyle w:val="Prrafodelista"/>
              <w:numPr>
                <w:ilvl w:val="0"/>
                <w:numId w:val="27"/>
              </w:numPr>
              <w:rPr>
                <w:rFonts w:ascii="Arial" w:hAnsi="Arial" w:cs="Arial"/>
                <w:color w:val="000000" w:themeColor="text1"/>
                <w:sz w:val="20"/>
                <w:szCs w:val="20"/>
              </w:rPr>
            </w:pPr>
          </w:p>
        </w:tc>
        <w:tc>
          <w:tcPr>
            <w:tcW w:w="5103" w:type="dxa"/>
            <w:vMerge/>
            <w:vAlign w:val="center"/>
          </w:tcPr>
          <w:p w14:paraId="1B3CE5BE" w14:textId="1BF089DD" w:rsidR="009811A1" w:rsidRPr="00DE692F" w:rsidRDefault="009811A1" w:rsidP="0062490F">
            <w:pPr>
              <w:rPr>
                <w:rFonts w:cs="Arial"/>
                <w:color w:val="000000" w:themeColor="text1"/>
                <w:sz w:val="20"/>
                <w:szCs w:val="20"/>
              </w:rPr>
            </w:pPr>
          </w:p>
        </w:tc>
        <w:tc>
          <w:tcPr>
            <w:tcW w:w="4808" w:type="dxa"/>
            <w:vAlign w:val="center"/>
          </w:tcPr>
          <w:p w14:paraId="0A465F3A" w14:textId="70EDD804" w:rsidR="009811A1" w:rsidRPr="00DE692F" w:rsidRDefault="009811A1" w:rsidP="0062490F">
            <w:pPr>
              <w:rPr>
                <w:rFonts w:cs="Arial"/>
                <w:color w:val="000000" w:themeColor="text1"/>
                <w:sz w:val="20"/>
                <w:szCs w:val="20"/>
              </w:rPr>
            </w:pPr>
            <w:r w:rsidRPr="00DE692F">
              <w:rPr>
                <w:rFonts w:cs="Arial"/>
                <w:color w:val="000000" w:themeColor="text1"/>
                <w:sz w:val="20"/>
                <w:szCs w:val="20"/>
              </w:rPr>
              <w:t>Tdr aprobado y el servicio se encuentra en proceso de convocatoria del Servicio de elaboración del Estudio sobre Trabajo Infantil, en el marco de las Salvaguardas Sociales y Ambientales del Proyecto FOLUR - GEF 10307; al finalizar el servicio se generará materiales para brindar el fortalecimiento de capacidades sobre el tema a los actores de la cadena.</w:t>
            </w:r>
          </w:p>
        </w:tc>
        <w:tc>
          <w:tcPr>
            <w:tcW w:w="4406" w:type="dxa"/>
            <w:vAlign w:val="center"/>
          </w:tcPr>
          <w:p w14:paraId="48BFE632" w14:textId="3345A2F0" w:rsidR="009811A1" w:rsidRPr="00DE692F" w:rsidRDefault="009811A1" w:rsidP="0062490F">
            <w:pPr>
              <w:rPr>
                <w:rFonts w:cs="Arial"/>
                <w:color w:val="000000" w:themeColor="text1"/>
                <w:sz w:val="20"/>
                <w:szCs w:val="20"/>
              </w:rPr>
            </w:pPr>
            <w:hyperlink r:id="rId35" w:history="1">
              <w:r w:rsidRPr="00DE692F">
                <w:rPr>
                  <w:rStyle w:val="Hipervnculo"/>
                  <w:rFonts w:cs="Arial"/>
                  <w:sz w:val="20"/>
                  <w:szCs w:val="20"/>
                </w:rPr>
                <w:t>https://drive.go</w:t>
              </w:r>
              <w:r w:rsidRPr="00DE692F">
                <w:rPr>
                  <w:rStyle w:val="Hipervnculo"/>
                  <w:rFonts w:cs="Arial"/>
                  <w:sz w:val="20"/>
                  <w:szCs w:val="20"/>
                </w:rPr>
                <w:t>o</w:t>
              </w:r>
              <w:r w:rsidRPr="00DE692F">
                <w:rPr>
                  <w:rStyle w:val="Hipervnculo"/>
                  <w:rFonts w:cs="Arial"/>
                  <w:sz w:val="20"/>
                  <w:szCs w:val="20"/>
                </w:rPr>
                <w:t>gle.com/drive/folders/1WNYNkF0R3itRt0kuG3fQzkIH20lPzU8h?usp=sharing</w:t>
              </w:r>
            </w:hyperlink>
            <w:r w:rsidRPr="00DE692F">
              <w:rPr>
                <w:rFonts w:cs="Arial"/>
                <w:color w:val="000000" w:themeColor="text1"/>
                <w:sz w:val="20"/>
                <w:szCs w:val="20"/>
              </w:rPr>
              <w:t xml:space="preserve"> </w:t>
            </w:r>
          </w:p>
        </w:tc>
      </w:tr>
      <w:tr w:rsidR="00207E21" w:rsidRPr="00DE692F" w14:paraId="78CFADF5" w14:textId="77777777" w:rsidTr="00A30651">
        <w:trPr>
          <w:trHeight w:val="300"/>
        </w:trPr>
        <w:tc>
          <w:tcPr>
            <w:tcW w:w="551" w:type="dxa"/>
            <w:vAlign w:val="center"/>
          </w:tcPr>
          <w:p w14:paraId="79E96997" w14:textId="77777777" w:rsidR="00207E21" w:rsidRPr="00DE692F" w:rsidRDefault="00207E21" w:rsidP="0062490F">
            <w:pPr>
              <w:pStyle w:val="Prrafodelista"/>
              <w:numPr>
                <w:ilvl w:val="0"/>
                <w:numId w:val="27"/>
              </w:numPr>
              <w:rPr>
                <w:rFonts w:ascii="Arial" w:hAnsi="Arial" w:cs="Arial"/>
                <w:color w:val="000000" w:themeColor="text1"/>
                <w:sz w:val="20"/>
                <w:szCs w:val="20"/>
              </w:rPr>
            </w:pPr>
          </w:p>
        </w:tc>
        <w:tc>
          <w:tcPr>
            <w:tcW w:w="5103" w:type="dxa"/>
            <w:vAlign w:val="center"/>
          </w:tcPr>
          <w:p w14:paraId="0A84D1C1" w14:textId="7ED96488" w:rsidR="00207E21" w:rsidRPr="00DE692F" w:rsidRDefault="00207E21" w:rsidP="0062490F">
            <w:pPr>
              <w:rPr>
                <w:rFonts w:cs="Arial"/>
                <w:color w:val="000000" w:themeColor="text1"/>
                <w:sz w:val="20"/>
                <w:szCs w:val="20"/>
              </w:rPr>
            </w:pPr>
            <w:r>
              <w:rPr>
                <w:rFonts w:cs="Arial"/>
                <w:color w:val="000000" w:themeColor="text1"/>
                <w:sz w:val="20"/>
                <w:szCs w:val="20"/>
              </w:rPr>
              <w:t>Producto 2.1.3</w:t>
            </w:r>
          </w:p>
        </w:tc>
        <w:tc>
          <w:tcPr>
            <w:tcW w:w="4808" w:type="dxa"/>
            <w:vAlign w:val="center"/>
          </w:tcPr>
          <w:p w14:paraId="246F81F4" w14:textId="05845132" w:rsidR="00207E21" w:rsidRPr="00DE692F" w:rsidRDefault="00207E21" w:rsidP="0062490F">
            <w:pPr>
              <w:rPr>
                <w:rFonts w:cs="Arial"/>
                <w:color w:val="000000" w:themeColor="text1"/>
                <w:sz w:val="20"/>
                <w:szCs w:val="20"/>
              </w:rPr>
            </w:pPr>
            <w:r w:rsidRPr="00207E21">
              <w:rPr>
                <w:rFonts w:cs="Arial"/>
                <w:color w:val="000000" w:themeColor="text1"/>
                <w:sz w:val="20"/>
                <w:szCs w:val="20"/>
              </w:rPr>
              <w:t>Minuta de reunión de coordinaciones sobre articulación de actividades entre ECOM y proyecto FOLUR</w:t>
            </w:r>
          </w:p>
        </w:tc>
        <w:tc>
          <w:tcPr>
            <w:tcW w:w="4406" w:type="dxa"/>
            <w:vAlign w:val="center"/>
          </w:tcPr>
          <w:p w14:paraId="64D920E4" w14:textId="0F8D6D7B" w:rsidR="00207E21" w:rsidRDefault="00207E21" w:rsidP="0062490F">
            <w:hyperlink r:id="rId36" w:history="1">
              <w:r w:rsidRPr="003A48A5">
                <w:rPr>
                  <w:rStyle w:val="Hipervnculo"/>
                </w:rPr>
                <w:t>https://drive.google.com/drive/folders/1eN3u6XKU1eU3wpfk78ml36-nqqRuOCZR?usp=sharing</w:t>
              </w:r>
            </w:hyperlink>
            <w:r>
              <w:t xml:space="preserve"> </w:t>
            </w:r>
          </w:p>
        </w:tc>
      </w:tr>
      <w:tr w:rsidR="009811A1" w:rsidRPr="00DE692F" w14:paraId="66F8E223" w14:textId="77777777" w:rsidTr="00A30651">
        <w:trPr>
          <w:trHeight w:val="300"/>
        </w:trPr>
        <w:tc>
          <w:tcPr>
            <w:tcW w:w="551" w:type="dxa"/>
            <w:vAlign w:val="center"/>
          </w:tcPr>
          <w:p w14:paraId="5EF443C3" w14:textId="77777777" w:rsidR="009811A1" w:rsidRPr="00DE692F" w:rsidRDefault="009811A1" w:rsidP="009811A1">
            <w:pPr>
              <w:pStyle w:val="Prrafodelista"/>
              <w:numPr>
                <w:ilvl w:val="0"/>
                <w:numId w:val="27"/>
              </w:numPr>
              <w:rPr>
                <w:rFonts w:ascii="Arial" w:hAnsi="Arial" w:cs="Arial"/>
                <w:color w:val="000000" w:themeColor="text1"/>
                <w:sz w:val="20"/>
                <w:szCs w:val="20"/>
              </w:rPr>
            </w:pPr>
          </w:p>
        </w:tc>
        <w:tc>
          <w:tcPr>
            <w:tcW w:w="5103" w:type="dxa"/>
            <w:vAlign w:val="center"/>
          </w:tcPr>
          <w:p w14:paraId="5BD87DAF" w14:textId="3741821E" w:rsidR="009811A1" w:rsidRPr="00DE692F" w:rsidRDefault="009811A1" w:rsidP="009811A1">
            <w:pPr>
              <w:rPr>
                <w:rFonts w:cs="Arial"/>
                <w:color w:val="000000" w:themeColor="text1"/>
                <w:sz w:val="20"/>
                <w:szCs w:val="20"/>
              </w:rPr>
            </w:pPr>
            <w:r w:rsidRPr="00DE692F">
              <w:rPr>
                <w:rFonts w:cs="Arial"/>
                <w:color w:val="000000" w:themeColor="text1"/>
                <w:sz w:val="20"/>
                <w:szCs w:val="20"/>
              </w:rPr>
              <w:t>Producto 2.1.4</w:t>
            </w:r>
          </w:p>
        </w:tc>
        <w:tc>
          <w:tcPr>
            <w:tcW w:w="4808" w:type="dxa"/>
            <w:vAlign w:val="center"/>
          </w:tcPr>
          <w:p w14:paraId="128CFDA4" w14:textId="77777777" w:rsidR="009811A1" w:rsidRPr="00DE692F" w:rsidRDefault="009811A1" w:rsidP="009811A1">
            <w:pPr>
              <w:rPr>
                <w:rFonts w:cs="Arial"/>
                <w:color w:val="000000" w:themeColor="text1"/>
                <w:sz w:val="20"/>
                <w:szCs w:val="20"/>
              </w:rPr>
            </w:pPr>
            <w:r w:rsidRPr="00DE692F">
              <w:rPr>
                <w:rFonts w:cs="Arial"/>
                <w:color w:val="000000" w:themeColor="text1"/>
                <w:sz w:val="20"/>
                <w:szCs w:val="20"/>
              </w:rPr>
              <w:t>Primer producto del Servicio de un profesional en Sistemas de Información Geográfica (SIG) para la gestión y organización de información del levantamiento de polígonos en el ámbito de las provincias de San Ignacio y Jaén aprobado</w:t>
            </w:r>
          </w:p>
          <w:p w14:paraId="45EB2929" w14:textId="77777777" w:rsidR="009811A1" w:rsidRPr="00DE692F" w:rsidRDefault="009811A1" w:rsidP="009811A1">
            <w:pPr>
              <w:rPr>
                <w:rFonts w:cs="Arial"/>
                <w:color w:val="000000" w:themeColor="text1"/>
                <w:sz w:val="20"/>
                <w:szCs w:val="20"/>
              </w:rPr>
            </w:pPr>
          </w:p>
          <w:p w14:paraId="6996E6A7" w14:textId="77777777" w:rsidR="009811A1" w:rsidRPr="00DE692F" w:rsidRDefault="009811A1" w:rsidP="009811A1">
            <w:pPr>
              <w:rPr>
                <w:rFonts w:cs="Arial"/>
                <w:color w:val="000000" w:themeColor="text1"/>
                <w:sz w:val="20"/>
                <w:szCs w:val="20"/>
              </w:rPr>
            </w:pPr>
            <w:r w:rsidRPr="00DE692F">
              <w:rPr>
                <w:rFonts w:cs="Arial"/>
                <w:color w:val="000000" w:themeColor="text1"/>
                <w:sz w:val="20"/>
                <w:szCs w:val="20"/>
              </w:rPr>
              <w:t>Primer producto del Servicio de 3 técnicos de campo para el Levantamiento de polígonos de los socios de la Cooperativa Agraria Aprocassi en las provincias de San Ignacio y Jaén aprobados</w:t>
            </w:r>
          </w:p>
          <w:p w14:paraId="5D1B8FEC" w14:textId="77777777" w:rsidR="009811A1" w:rsidRPr="00DE692F" w:rsidRDefault="009811A1" w:rsidP="009811A1">
            <w:pPr>
              <w:rPr>
                <w:rFonts w:cs="Arial"/>
                <w:color w:val="000000" w:themeColor="text1"/>
                <w:sz w:val="20"/>
                <w:szCs w:val="20"/>
              </w:rPr>
            </w:pPr>
          </w:p>
          <w:p w14:paraId="056D4939" w14:textId="77777777" w:rsidR="009811A1" w:rsidRPr="00DE692F" w:rsidRDefault="009811A1" w:rsidP="009811A1">
            <w:pPr>
              <w:rPr>
                <w:rFonts w:cs="Arial"/>
                <w:color w:val="000000" w:themeColor="text1"/>
                <w:sz w:val="20"/>
                <w:szCs w:val="20"/>
              </w:rPr>
            </w:pPr>
            <w:r w:rsidRPr="00DE692F">
              <w:rPr>
                <w:rFonts w:cs="Arial"/>
                <w:color w:val="000000" w:themeColor="text1"/>
                <w:sz w:val="20"/>
                <w:szCs w:val="20"/>
              </w:rPr>
              <w:t>Primer producto del Servicio de 05 técnicos de campo para el levantamiento de polígonos de los socios de la Cooperativa Agraria Cafetalera CENFROCAFE Perú en las provincias de San Ignacio, Jaén y Bagua aprobados</w:t>
            </w:r>
          </w:p>
          <w:p w14:paraId="4C9EC62E" w14:textId="77777777" w:rsidR="009811A1" w:rsidRPr="00DE692F" w:rsidRDefault="009811A1" w:rsidP="009811A1">
            <w:pPr>
              <w:rPr>
                <w:rFonts w:cs="Arial"/>
                <w:color w:val="000000" w:themeColor="text1"/>
                <w:sz w:val="20"/>
                <w:szCs w:val="20"/>
              </w:rPr>
            </w:pPr>
          </w:p>
          <w:p w14:paraId="0225AE94" w14:textId="77777777" w:rsidR="009811A1" w:rsidRPr="00DE692F" w:rsidRDefault="009811A1" w:rsidP="009811A1">
            <w:pPr>
              <w:rPr>
                <w:rFonts w:cs="Arial"/>
                <w:color w:val="000000" w:themeColor="text1"/>
                <w:sz w:val="20"/>
                <w:szCs w:val="20"/>
              </w:rPr>
            </w:pPr>
            <w:r w:rsidRPr="00DE692F">
              <w:rPr>
                <w:rFonts w:cs="Arial"/>
                <w:color w:val="000000" w:themeColor="text1"/>
                <w:sz w:val="20"/>
                <w:szCs w:val="20"/>
              </w:rPr>
              <w:t>Primer producto del Servicio de un profesional en Sistemas de Información Geográfica (SIG) para la gestión y organización de información del levantamiento de polígonos de socios de la Cooperativa Agraria Cafetalera Cenfrocafe Perú aprobado</w:t>
            </w:r>
          </w:p>
          <w:p w14:paraId="7AA70B66" w14:textId="77777777" w:rsidR="009811A1" w:rsidRPr="00DE692F" w:rsidRDefault="009811A1" w:rsidP="009811A1">
            <w:pPr>
              <w:rPr>
                <w:rFonts w:cs="Arial"/>
                <w:color w:val="000000" w:themeColor="text1"/>
                <w:sz w:val="20"/>
                <w:szCs w:val="20"/>
              </w:rPr>
            </w:pPr>
          </w:p>
          <w:p w14:paraId="1B5A875B" w14:textId="756D4BA1" w:rsidR="009811A1" w:rsidRPr="00DE692F" w:rsidRDefault="009811A1" w:rsidP="009811A1">
            <w:pPr>
              <w:rPr>
                <w:rFonts w:cs="Arial"/>
                <w:color w:val="000000" w:themeColor="text1"/>
                <w:sz w:val="20"/>
                <w:szCs w:val="20"/>
              </w:rPr>
            </w:pPr>
            <w:r w:rsidRPr="00DE692F">
              <w:rPr>
                <w:rFonts w:cs="Arial"/>
                <w:color w:val="000000" w:themeColor="text1"/>
                <w:sz w:val="20"/>
                <w:szCs w:val="20"/>
              </w:rPr>
              <w:t>Tdr elaborador para el Servicio para la implementación de una herramienta digital de trazabilidad para el cumplimiento con la EUDR en organizaciones de productores de San Martín, en el marco del Proyecto FOLUR</w:t>
            </w:r>
          </w:p>
        </w:tc>
        <w:tc>
          <w:tcPr>
            <w:tcW w:w="4406" w:type="dxa"/>
            <w:vAlign w:val="center"/>
          </w:tcPr>
          <w:p w14:paraId="7B076D4B" w14:textId="71E8A468" w:rsidR="009811A1" w:rsidRPr="00DE692F" w:rsidRDefault="009811A1" w:rsidP="009811A1">
            <w:pPr>
              <w:rPr>
                <w:rFonts w:cs="Arial"/>
                <w:color w:val="000000" w:themeColor="text1"/>
                <w:sz w:val="20"/>
                <w:szCs w:val="20"/>
              </w:rPr>
            </w:pPr>
            <w:hyperlink r:id="rId37" w:history="1">
              <w:r w:rsidRPr="00DE692F">
                <w:rPr>
                  <w:rStyle w:val="Hipervnculo"/>
                  <w:rFonts w:cs="Arial"/>
                  <w:sz w:val="20"/>
                  <w:szCs w:val="20"/>
                </w:rPr>
                <w:t>https://drive.google.com/open?id=1rVat9gImwVSF88jpy7ZzjJby-ykr4QWj&amp;usp=drive_fs</w:t>
              </w:r>
            </w:hyperlink>
            <w:r w:rsidRPr="00DE692F">
              <w:rPr>
                <w:rFonts w:cs="Arial"/>
                <w:color w:val="000000" w:themeColor="text1"/>
                <w:sz w:val="20"/>
                <w:szCs w:val="20"/>
              </w:rPr>
              <w:t xml:space="preserve"> </w:t>
            </w:r>
          </w:p>
        </w:tc>
      </w:tr>
      <w:tr w:rsidR="009811A1" w:rsidRPr="00DE692F" w14:paraId="65DF6206" w14:textId="77777777" w:rsidTr="00A30651">
        <w:trPr>
          <w:trHeight w:val="300"/>
        </w:trPr>
        <w:tc>
          <w:tcPr>
            <w:tcW w:w="551" w:type="dxa"/>
            <w:vAlign w:val="center"/>
          </w:tcPr>
          <w:p w14:paraId="75083759" w14:textId="77777777" w:rsidR="009811A1" w:rsidRPr="00DE692F" w:rsidRDefault="009811A1" w:rsidP="009811A1">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57403AFB" w14:textId="1007995C" w:rsidR="009811A1" w:rsidRPr="00DE692F" w:rsidRDefault="009811A1" w:rsidP="009811A1">
            <w:pPr>
              <w:rPr>
                <w:rFonts w:cs="Arial"/>
                <w:color w:val="000000" w:themeColor="text1"/>
                <w:sz w:val="20"/>
                <w:szCs w:val="20"/>
              </w:rPr>
            </w:pPr>
            <w:r w:rsidRPr="00DE692F">
              <w:rPr>
                <w:rFonts w:cs="Arial"/>
                <w:color w:val="000000" w:themeColor="text1"/>
                <w:sz w:val="20"/>
                <w:szCs w:val="20"/>
              </w:rPr>
              <w:t>Producto 2.1.5</w:t>
            </w:r>
          </w:p>
        </w:tc>
        <w:tc>
          <w:tcPr>
            <w:tcW w:w="4808" w:type="dxa"/>
            <w:vAlign w:val="center"/>
          </w:tcPr>
          <w:p w14:paraId="6A8D426D"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Convocatoria adjudicada del Servicio de elaboración del marco conceptual de Commodities Libres de Deforestación y caracterización de las cadenas de valor de café y cacao en el ámbito del Proyecto FOLUR (GEF 10307).</w:t>
            </w:r>
          </w:p>
          <w:p w14:paraId="483A527F" w14:textId="77777777" w:rsidR="00207E21" w:rsidRPr="00207E21" w:rsidRDefault="00207E21" w:rsidP="00207E21">
            <w:pPr>
              <w:rPr>
                <w:rFonts w:cs="Arial"/>
                <w:color w:val="000000" w:themeColor="text1"/>
                <w:sz w:val="20"/>
                <w:szCs w:val="20"/>
              </w:rPr>
            </w:pPr>
          </w:p>
          <w:p w14:paraId="56238D84" w14:textId="007BB87E" w:rsidR="009811A1" w:rsidRPr="00DE692F" w:rsidRDefault="00207E21" w:rsidP="00207E21">
            <w:pPr>
              <w:rPr>
                <w:rFonts w:cs="Arial"/>
                <w:color w:val="000000" w:themeColor="text1"/>
                <w:sz w:val="20"/>
                <w:szCs w:val="20"/>
              </w:rPr>
            </w:pPr>
            <w:r w:rsidRPr="00207E21">
              <w:rPr>
                <w:rFonts w:cs="Arial"/>
                <w:color w:val="000000" w:themeColor="text1"/>
                <w:sz w:val="20"/>
                <w:szCs w:val="20"/>
              </w:rPr>
              <w:t xml:space="preserve">Términos de Referencia del Servicio Especializado para la formulación de dos estrategias financieras para apoyar y articular la financiación de los </w:t>
            </w:r>
            <w:r w:rsidRPr="00207E21">
              <w:rPr>
                <w:rFonts w:cs="Arial"/>
                <w:color w:val="000000" w:themeColor="text1"/>
                <w:sz w:val="20"/>
                <w:szCs w:val="20"/>
              </w:rPr>
              <w:lastRenderedPageBreak/>
              <w:t>servicios de extensión de CLD, incluida la viabilidad de los fondos para commodities de café y cacao.</w:t>
            </w:r>
          </w:p>
        </w:tc>
        <w:tc>
          <w:tcPr>
            <w:tcW w:w="4406" w:type="dxa"/>
            <w:vAlign w:val="center"/>
          </w:tcPr>
          <w:p w14:paraId="2CF8F518" w14:textId="4CBC2CD7" w:rsidR="009811A1" w:rsidRPr="00DE692F" w:rsidRDefault="009811A1" w:rsidP="009811A1">
            <w:pPr>
              <w:rPr>
                <w:rFonts w:cs="Arial"/>
                <w:color w:val="000000" w:themeColor="text1"/>
                <w:sz w:val="20"/>
                <w:szCs w:val="20"/>
              </w:rPr>
            </w:pPr>
            <w:hyperlink r:id="rId38" w:history="1">
              <w:r w:rsidRPr="00DE692F">
                <w:rPr>
                  <w:rStyle w:val="Hipervnculo"/>
                  <w:rFonts w:cs="Arial"/>
                  <w:sz w:val="20"/>
                  <w:szCs w:val="20"/>
                </w:rPr>
                <w:t>https://drive.google.com/open?id=1atOZxVJZpxpjTRa0fcKwrtG_IOtu7b5O&amp;usp=drive_fs</w:t>
              </w:r>
            </w:hyperlink>
            <w:r w:rsidRPr="00DE692F">
              <w:rPr>
                <w:rFonts w:cs="Arial"/>
                <w:color w:val="000000" w:themeColor="text1"/>
                <w:sz w:val="20"/>
                <w:szCs w:val="20"/>
              </w:rPr>
              <w:t xml:space="preserve"> </w:t>
            </w:r>
          </w:p>
        </w:tc>
      </w:tr>
      <w:tr w:rsidR="009811A1" w:rsidRPr="00DE692F" w14:paraId="72CFD7BF" w14:textId="77777777" w:rsidTr="00A30651">
        <w:trPr>
          <w:trHeight w:val="300"/>
        </w:trPr>
        <w:tc>
          <w:tcPr>
            <w:tcW w:w="551" w:type="dxa"/>
            <w:vAlign w:val="center"/>
          </w:tcPr>
          <w:p w14:paraId="45C064E2" w14:textId="77777777" w:rsidR="009811A1" w:rsidRPr="00DE692F" w:rsidRDefault="009811A1" w:rsidP="009811A1">
            <w:pPr>
              <w:pStyle w:val="Prrafodelista"/>
              <w:numPr>
                <w:ilvl w:val="0"/>
                <w:numId w:val="27"/>
              </w:numPr>
              <w:rPr>
                <w:rFonts w:ascii="Arial" w:hAnsi="Arial" w:cs="Arial"/>
                <w:color w:val="000000" w:themeColor="text1"/>
                <w:sz w:val="20"/>
                <w:szCs w:val="20"/>
              </w:rPr>
            </w:pPr>
          </w:p>
        </w:tc>
        <w:tc>
          <w:tcPr>
            <w:tcW w:w="5103" w:type="dxa"/>
            <w:vMerge/>
            <w:vAlign w:val="center"/>
          </w:tcPr>
          <w:p w14:paraId="00EB10BD" w14:textId="03F7C967" w:rsidR="009811A1" w:rsidRPr="00DE692F" w:rsidRDefault="009811A1" w:rsidP="009811A1">
            <w:pPr>
              <w:rPr>
                <w:rFonts w:cs="Arial"/>
                <w:color w:val="000000" w:themeColor="text1"/>
                <w:sz w:val="20"/>
                <w:szCs w:val="20"/>
              </w:rPr>
            </w:pPr>
          </w:p>
        </w:tc>
        <w:tc>
          <w:tcPr>
            <w:tcW w:w="4808" w:type="dxa"/>
            <w:vAlign w:val="center"/>
          </w:tcPr>
          <w:p w14:paraId="6125867D"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TdR de la Consultoría Especializada para el Desarrollo de la Línea Estratégica Transversal de Inclusión y Desarrollo Familiar (Enfoque GESI y Metodología ECAF-GALS) para los Expedientes Técnicos de los Proyectos de Inversión en Cacao y Café en la Región San Martín en convocatoria</w:t>
            </w:r>
          </w:p>
          <w:p w14:paraId="77A55C92" w14:textId="77777777" w:rsidR="00207E21" w:rsidRPr="00207E21" w:rsidRDefault="00207E21" w:rsidP="00207E21">
            <w:pPr>
              <w:rPr>
                <w:rFonts w:cs="Arial"/>
                <w:color w:val="000000" w:themeColor="text1"/>
                <w:sz w:val="20"/>
                <w:szCs w:val="20"/>
              </w:rPr>
            </w:pPr>
          </w:p>
          <w:p w14:paraId="54EDE5F2" w14:textId="1DDD5436" w:rsidR="009811A1" w:rsidRPr="00DE692F" w:rsidRDefault="00207E21" w:rsidP="00207E21">
            <w:pPr>
              <w:rPr>
                <w:rFonts w:cs="Arial"/>
                <w:color w:val="000000" w:themeColor="text1"/>
                <w:sz w:val="20"/>
                <w:szCs w:val="20"/>
              </w:rPr>
            </w:pPr>
            <w:r w:rsidRPr="00207E21">
              <w:rPr>
                <w:rFonts w:cs="Arial"/>
                <w:color w:val="000000" w:themeColor="text1"/>
                <w:sz w:val="20"/>
                <w:szCs w:val="20"/>
              </w:rPr>
              <w:t>TdR, bases y contrato del Servicio de elaboración del Programa Curricular Especializado en la producción sostenible e inclusiva del café</w:t>
            </w:r>
          </w:p>
        </w:tc>
        <w:tc>
          <w:tcPr>
            <w:tcW w:w="4406" w:type="dxa"/>
            <w:vAlign w:val="center"/>
          </w:tcPr>
          <w:p w14:paraId="459B531A" w14:textId="31D58311" w:rsidR="009811A1" w:rsidRPr="00DE692F" w:rsidRDefault="009811A1" w:rsidP="009811A1">
            <w:pPr>
              <w:rPr>
                <w:rFonts w:cs="Arial"/>
                <w:color w:val="000000" w:themeColor="text1"/>
                <w:sz w:val="20"/>
                <w:szCs w:val="20"/>
              </w:rPr>
            </w:pPr>
            <w:hyperlink r:id="rId39" w:history="1">
              <w:r w:rsidRPr="00DE692F">
                <w:rPr>
                  <w:rStyle w:val="Hipervnculo"/>
                  <w:rFonts w:cs="Arial"/>
                  <w:sz w:val="20"/>
                  <w:szCs w:val="20"/>
                </w:rPr>
                <w:t>https://drive.google.com/open?id=1FFXUvvsaPFAFsxkhtZca8N1iEHD_6Vom&amp;usp=drive_fs</w:t>
              </w:r>
            </w:hyperlink>
            <w:r w:rsidRPr="00DE692F">
              <w:rPr>
                <w:rFonts w:cs="Arial"/>
                <w:color w:val="000000" w:themeColor="text1"/>
                <w:sz w:val="20"/>
                <w:szCs w:val="20"/>
              </w:rPr>
              <w:t xml:space="preserve"> </w:t>
            </w:r>
          </w:p>
        </w:tc>
      </w:tr>
      <w:tr w:rsidR="009811A1" w:rsidRPr="00DE692F" w14:paraId="0D8CDC40" w14:textId="77777777" w:rsidTr="00512FA9">
        <w:trPr>
          <w:trHeight w:val="300"/>
        </w:trPr>
        <w:tc>
          <w:tcPr>
            <w:tcW w:w="14868" w:type="dxa"/>
            <w:gridSpan w:val="4"/>
            <w:vAlign w:val="center"/>
          </w:tcPr>
          <w:p w14:paraId="4FB27DB1" w14:textId="6E5817E9" w:rsidR="009811A1" w:rsidRPr="00DE692F" w:rsidRDefault="009811A1" w:rsidP="009811A1">
            <w:pPr>
              <w:jc w:val="left"/>
              <w:rPr>
                <w:rFonts w:cs="Arial"/>
                <w:color w:val="000000" w:themeColor="text1"/>
                <w:sz w:val="20"/>
                <w:szCs w:val="20"/>
              </w:rPr>
            </w:pPr>
            <w:r w:rsidRPr="00DE692F">
              <w:rPr>
                <w:b/>
                <w:bCs/>
                <w:color w:val="000000"/>
                <w:sz w:val="20"/>
                <w:szCs w:val="20"/>
              </w:rPr>
              <w:t>Resultado 4</w:t>
            </w:r>
          </w:p>
        </w:tc>
      </w:tr>
      <w:tr w:rsidR="009811A1" w:rsidRPr="00DE692F" w14:paraId="035F5C1E" w14:textId="77777777" w:rsidTr="00A30651">
        <w:trPr>
          <w:trHeight w:val="300"/>
        </w:trPr>
        <w:tc>
          <w:tcPr>
            <w:tcW w:w="551" w:type="dxa"/>
            <w:vAlign w:val="center"/>
          </w:tcPr>
          <w:p w14:paraId="16AA505E" w14:textId="77777777" w:rsidR="009811A1" w:rsidRPr="00DE692F" w:rsidRDefault="009811A1" w:rsidP="009811A1">
            <w:pPr>
              <w:pStyle w:val="Prrafodelista"/>
              <w:numPr>
                <w:ilvl w:val="0"/>
                <w:numId w:val="27"/>
              </w:numPr>
              <w:rPr>
                <w:rFonts w:ascii="Arial" w:hAnsi="Arial" w:cs="Arial"/>
                <w:color w:val="000000" w:themeColor="text1"/>
                <w:sz w:val="20"/>
                <w:szCs w:val="20"/>
              </w:rPr>
            </w:pPr>
          </w:p>
        </w:tc>
        <w:tc>
          <w:tcPr>
            <w:tcW w:w="5103" w:type="dxa"/>
            <w:vAlign w:val="center"/>
          </w:tcPr>
          <w:p w14:paraId="1ED9D3DB" w14:textId="47B1994C" w:rsidR="009811A1" w:rsidRPr="00DE692F" w:rsidRDefault="009811A1" w:rsidP="009811A1">
            <w:pPr>
              <w:rPr>
                <w:rFonts w:cs="Arial"/>
                <w:color w:val="000000" w:themeColor="text1"/>
                <w:sz w:val="20"/>
                <w:szCs w:val="20"/>
              </w:rPr>
            </w:pPr>
            <w:r w:rsidRPr="00DE692F">
              <w:rPr>
                <w:rFonts w:cs="Arial"/>
                <w:color w:val="000000" w:themeColor="text1"/>
                <w:sz w:val="20"/>
                <w:szCs w:val="20"/>
              </w:rPr>
              <w:t>Producto 2.2.1</w:t>
            </w:r>
          </w:p>
        </w:tc>
        <w:tc>
          <w:tcPr>
            <w:tcW w:w="4808" w:type="dxa"/>
            <w:vAlign w:val="center"/>
          </w:tcPr>
          <w:p w14:paraId="25A14AC2" w14:textId="038D1E50" w:rsidR="009811A1" w:rsidRPr="00DE692F" w:rsidRDefault="00053416" w:rsidP="009811A1">
            <w:pPr>
              <w:rPr>
                <w:rFonts w:cs="Arial"/>
                <w:color w:val="000000" w:themeColor="text1"/>
                <w:sz w:val="20"/>
                <w:szCs w:val="20"/>
              </w:rPr>
            </w:pPr>
            <w:r w:rsidRPr="00DE692F">
              <w:rPr>
                <w:rFonts w:cs="Arial"/>
                <w:color w:val="000000" w:themeColor="text1"/>
                <w:sz w:val="20"/>
                <w:szCs w:val="20"/>
              </w:rPr>
              <w:t>TdR del Servicio de diseño de convocatorias públicas bajo la modalidad Low Value Grant (LVG) y Responsible Party Agreement (RPA) del Proyecto FOLUR en proceso de contratación</w:t>
            </w:r>
          </w:p>
        </w:tc>
        <w:tc>
          <w:tcPr>
            <w:tcW w:w="4406" w:type="dxa"/>
            <w:vAlign w:val="center"/>
          </w:tcPr>
          <w:p w14:paraId="37BDB1EB" w14:textId="3B02258D" w:rsidR="009811A1" w:rsidRPr="00DE692F" w:rsidRDefault="00053416" w:rsidP="009811A1">
            <w:pPr>
              <w:rPr>
                <w:rFonts w:cs="Arial"/>
                <w:color w:val="000000" w:themeColor="text1"/>
                <w:sz w:val="20"/>
                <w:szCs w:val="20"/>
              </w:rPr>
            </w:pPr>
            <w:hyperlink r:id="rId40" w:history="1">
              <w:r w:rsidRPr="00DE692F">
                <w:rPr>
                  <w:rStyle w:val="Hipervnculo"/>
                  <w:rFonts w:cs="Arial"/>
                  <w:sz w:val="20"/>
                  <w:szCs w:val="20"/>
                </w:rPr>
                <w:t>https://drive.google.com/open?id=1f8tLgPFDh0eloBuuD-8VhaDIFag6qnj3&amp;usp=drive_fs</w:t>
              </w:r>
            </w:hyperlink>
            <w:r w:rsidRPr="00DE692F">
              <w:rPr>
                <w:rFonts w:cs="Arial"/>
                <w:color w:val="000000" w:themeColor="text1"/>
                <w:sz w:val="20"/>
                <w:szCs w:val="20"/>
              </w:rPr>
              <w:t xml:space="preserve"> </w:t>
            </w:r>
          </w:p>
        </w:tc>
      </w:tr>
      <w:tr w:rsidR="00053416" w:rsidRPr="00DE692F" w14:paraId="47A0ED82" w14:textId="77777777" w:rsidTr="00A30651">
        <w:trPr>
          <w:trHeight w:val="300"/>
        </w:trPr>
        <w:tc>
          <w:tcPr>
            <w:tcW w:w="551" w:type="dxa"/>
            <w:vAlign w:val="center"/>
          </w:tcPr>
          <w:p w14:paraId="7C5D92E8" w14:textId="77777777" w:rsidR="00053416" w:rsidRPr="00DE692F" w:rsidRDefault="00053416" w:rsidP="00053416">
            <w:pPr>
              <w:pStyle w:val="Prrafodelista"/>
              <w:numPr>
                <w:ilvl w:val="0"/>
                <w:numId w:val="27"/>
              </w:numPr>
              <w:rPr>
                <w:rFonts w:ascii="Arial" w:hAnsi="Arial" w:cs="Arial"/>
                <w:color w:val="000000" w:themeColor="text1"/>
                <w:sz w:val="20"/>
                <w:szCs w:val="20"/>
              </w:rPr>
            </w:pPr>
          </w:p>
        </w:tc>
        <w:tc>
          <w:tcPr>
            <w:tcW w:w="5103" w:type="dxa"/>
            <w:vAlign w:val="center"/>
          </w:tcPr>
          <w:p w14:paraId="2CD9CE56" w14:textId="66D11958" w:rsidR="00053416" w:rsidRPr="00DE692F" w:rsidRDefault="00053416" w:rsidP="00053416">
            <w:pPr>
              <w:rPr>
                <w:rFonts w:cs="Arial"/>
                <w:color w:val="000000" w:themeColor="text1"/>
                <w:sz w:val="20"/>
                <w:szCs w:val="20"/>
              </w:rPr>
            </w:pPr>
            <w:r w:rsidRPr="00DE692F">
              <w:rPr>
                <w:rFonts w:cs="Arial"/>
                <w:color w:val="000000" w:themeColor="text1"/>
                <w:sz w:val="20"/>
                <w:szCs w:val="20"/>
              </w:rPr>
              <w:t>Producto 2.2.2</w:t>
            </w:r>
          </w:p>
        </w:tc>
        <w:tc>
          <w:tcPr>
            <w:tcW w:w="4808" w:type="dxa"/>
            <w:vAlign w:val="center"/>
          </w:tcPr>
          <w:p w14:paraId="7DBF61E1" w14:textId="77777777" w:rsidR="00053416" w:rsidRPr="00DE692F" w:rsidRDefault="00053416" w:rsidP="00053416">
            <w:pPr>
              <w:rPr>
                <w:rFonts w:cs="Arial"/>
                <w:color w:val="000000" w:themeColor="text1"/>
                <w:sz w:val="20"/>
                <w:szCs w:val="20"/>
              </w:rPr>
            </w:pPr>
            <w:r w:rsidRPr="00DE692F">
              <w:rPr>
                <w:rFonts w:cs="Arial"/>
                <w:color w:val="000000" w:themeColor="text1"/>
                <w:sz w:val="20"/>
                <w:szCs w:val="20"/>
              </w:rPr>
              <w:t>TdR del Servicio de un líder de equipo para gestionar el acceso a financiamiento de productores en el marco del Programa de renovación y rehabilitación de café y cacao, del Fondo Agroperú en convocatoria</w:t>
            </w:r>
          </w:p>
          <w:p w14:paraId="321AFC49" w14:textId="77777777" w:rsidR="00053416" w:rsidRPr="00DE692F" w:rsidRDefault="00053416" w:rsidP="00053416">
            <w:pPr>
              <w:rPr>
                <w:rFonts w:cs="Arial"/>
                <w:color w:val="000000" w:themeColor="text1"/>
                <w:sz w:val="20"/>
                <w:szCs w:val="20"/>
              </w:rPr>
            </w:pPr>
          </w:p>
          <w:p w14:paraId="504D469F" w14:textId="77777777" w:rsidR="00053416" w:rsidRPr="00DE692F" w:rsidRDefault="00053416" w:rsidP="00053416">
            <w:pPr>
              <w:rPr>
                <w:rFonts w:cs="Arial"/>
                <w:color w:val="000000" w:themeColor="text1"/>
                <w:sz w:val="20"/>
                <w:szCs w:val="20"/>
              </w:rPr>
            </w:pPr>
            <w:r w:rsidRPr="00DE692F">
              <w:rPr>
                <w:rFonts w:cs="Arial"/>
                <w:color w:val="000000" w:themeColor="text1"/>
                <w:sz w:val="20"/>
                <w:szCs w:val="20"/>
              </w:rPr>
              <w:t>TdR del Servicio de dos Promotores para promover el acceso a financiamiento, en el marco del Programa de renovación y rehabilitación de café y cacao del Fondo Agroperu, para la región de San Martín en convocatoria</w:t>
            </w:r>
          </w:p>
          <w:p w14:paraId="3F9B3441" w14:textId="77777777" w:rsidR="00053416" w:rsidRPr="00DE692F" w:rsidRDefault="00053416" w:rsidP="00053416">
            <w:pPr>
              <w:rPr>
                <w:rFonts w:cs="Arial"/>
                <w:color w:val="000000" w:themeColor="text1"/>
                <w:sz w:val="20"/>
                <w:szCs w:val="20"/>
              </w:rPr>
            </w:pPr>
          </w:p>
          <w:p w14:paraId="40306A12" w14:textId="77777777" w:rsidR="00053416" w:rsidRPr="00DE692F" w:rsidRDefault="00053416" w:rsidP="00053416">
            <w:pPr>
              <w:rPr>
                <w:rFonts w:cs="Arial"/>
                <w:color w:val="000000" w:themeColor="text1"/>
                <w:sz w:val="20"/>
                <w:szCs w:val="20"/>
              </w:rPr>
            </w:pPr>
            <w:r w:rsidRPr="00DE692F">
              <w:rPr>
                <w:rFonts w:cs="Arial"/>
                <w:color w:val="000000" w:themeColor="text1"/>
                <w:sz w:val="20"/>
                <w:szCs w:val="20"/>
              </w:rPr>
              <w:t>TdR del Servicio de "Promotor para promover el acceso a financiamiento, en el marco del Programa de renovación y rehabilitación de café y cacao del Fondo Agroperu, para la región de Cajamarca en convocatoria</w:t>
            </w:r>
          </w:p>
          <w:p w14:paraId="1C6200D2" w14:textId="77777777" w:rsidR="00053416" w:rsidRPr="00DE692F" w:rsidRDefault="00053416" w:rsidP="00053416">
            <w:pPr>
              <w:rPr>
                <w:rFonts w:cs="Arial"/>
                <w:color w:val="000000" w:themeColor="text1"/>
                <w:sz w:val="20"/>
                <w:szCs w:val="20"/>
              </w:rPr>
            </w:pPr>
          </w:p>
          <w:p w14:paraId="76C62851" w14:textId="77777777" w:rsidR="00053416" w:rsidRPr="00DE692F" w:rsidRDefault="00053416" w:rsidP="00053416">
            <w:pPr>
              <w:rPr>
                <w:rFonts w:cs="Arial"/>
                <w:color w:val="000000" w:themeColor="text1"/>
                <w:sz w:val="20"/>
                <w:szCs w:val="20"/>
              </w:rPr>
            </w:pPr>
            <w:r w:rsidRPr="00DE692F">
              <w:rPr>
                <w:rFonts w:cs="Arial"/>
                <w:color w:val="000000" w:themeColor="text1"/>
                <w:sz w:val="20"/>
                <w:szCs w:val="20"/>
              </w:rPr>
              <w:t xml:space="preserve">TdR del Servicio de "Promotor para promover el acceso a financiamiento, en el marco del Programa </w:t>
            </w:r>
            <w:r w:rsidRPr="00DE692F">
              <w:rPr>
                <w:rFonts w:cs="Arial"/>
                <w:color w:val="000000" w:themeColor="text1"/>
                <w:sz w:val="20"/>
                <w:szCs w:val="20"/>
              </w:rPr>
              <w:lastRenderedPageBreak/>
              <w:t>de renovación y rehabilitación de café y cacao del Fondo Agroperu, para la región de Amazonas.</w:t>
            </w:r>
          </w:p>
          <w:p w14:paraId="2B0595D3" w14:textId="77777777" w:rsidR="00053416" w:rsidRPr="00DE692F" w:rsidRDefault="00053416" w:rsidP="00053416">
            <w:pPr>
              <w:rPr>
                <w:rFonts w:cs="Arial"/>
                <w:color w:val="000000" w:themeColor="text1"/>
                <w:sz w:val="20"/>
                <w:szCs w:val="20"/>
              </w:rPr>
            </w:pPr>
          </w:p>
          <w:p w14:paraId="105196CC" w14:textId="77777777" w:rsidR="00053416" w:rsidRPr="00DE692F" w:rsidRDefault="00053416" w:rsidP="00053416">
            <w:pPr>
              <w:rPr>
                <w:rFonts w:cs="Arial"/>
                <w:color w:val="000000" w:themeColor="text1"/>
                <w:sz w:val="20"/>
                <w:szCs w:val="20"/>
              </w:rPr>
            </w:pPr>
            <w:r w:rsidRPr="00DE692F">
              <w:rPr>
                <w:rFonts w:cs="Arial"/>
                <w:color w:val="000000" w:themeColor="text1"/>
                <w:sz w:val="20"/>
                <w:szCs w:val="20"/>
              </w:rPr>
              <w:t xml:space="preserve">Resultados del Programa de alistamiento. </w:t>
            </w:r>
          </w:p>
          <w:p w14:paraId="2512CD1A" w14:textId="77777777" w:rsidR="00053416" w:rsidRPr="00DE692F" w:rsidRDefault="00053416" w:rsidP="00053416">
            <w:pPr>
              <w:rPr>
                <w:rFonts w:cs="Arial"/>
                <w:color w:val="000000" w:themeColor="text1"/>
                <w:sz w:val="20"/>
                <w:szCs w:val="20"/>
              </w:rPr>
            </w:pPr>
          </w:p>
          <w:p w14:paraId="3ACD7D0E" w14:textId="5D5332BD" w:rsidR="00053416" w:rsidRPr="00DE692F" w:rsidRDefault="00053416" w:rsidP="00053416">
            <w:pPr>
              <w:rPr>
                <w:rFonts w:cs="Arial"/>
                <w:color w:val="000000" w:themeColor="text1"/>
                <w:sz w:val="20"/>
                <w:szCs w:val="20"/>
              </w:rPr>
            </w:pPr>
            <w:r w:rsidRPr="00DE692F">
              <w:rPr>
                <w:rFonts w:cs="Arial"/>
                <w:color w:val="000000" w:themeColor="text1"/>
                <w:sz w:val="20"/>
                <w:szCs w:val="20"/>
              </w:rPr>
              <w:t>Informe del evento “Construyendo Alianzas por la Sostenibilidad Ambiental Financiera: Presentación del Plan Director del Protocolo Verde 2025-2026”</w:t>
            </w:r>
          </w:p>
        </w:tc>
        <w:tc>
          <w:tcPr>
            <w:tcW w:w="4406" w:type="dxa"/>
            <w:vAlign w:val="center"/>
          </w:tcPr>
          <w:p w14:paraId="78434452" w14:textId="08A3B149" w:rsidR="00053416" w:rsidRPr="00DE692F" w:rsidRDefault="00053416" w:rsidP="00053416">
            <w:pPr>
              <w:rPr>
                <w:rFonts w:cs="Arial"/>
                <w:color w:val="000000" w:themeColor="text1"/>
                <w:sz w:val="20"/>
                <w:szCs w:val="20"/>
              </w:rPr>
            </w:pPr>
            <w:hyperlink r:id="rId41" w:history="1">
              <w:r w:rsidRPr="00DE692F">
                <w:rPr>
                  <w:rStyle w:val="Hipervnculo"/>
                  <w:rFonts w:cs="Arial"/>
                  <w:sz w:val="20"/>
                  <w:szCs w:val="20"/>
                </w:rPr>
                <w:t>https://drive.google.com/open?id=11j5EoS7jaxcIbiHKIcg2slJiT03amdHG&amp;usp=drive_fs</w:t>
              </w:r>
            </w:hyperlink>
            <w:r w:rsidRPr="00DE692F">
              <w:rPr>
                <w:rFonts w:cs="Arial"/>
                <w:color w:val="000000" w:themeColor="text1"/>
                <w:sz w:val="20"/>
                <w:szCs w:val="20"/>
              </w:rPr>
              <w:t xml:space="preserve"> </w:t>
            </w:r>
          </w:p>
        </w:tc>
      </w:tr>
      <w:tr w:rsidR="00053416" w:rsidRPr="00DE692F" w14:paraId="55A2890F" w14:textId="77777777" w:rsidTr="00A30651">
        <w:trPr>
          <w:trHeight w:val="300"/>
        </w:trPr>
        <w:tc>
          <w:tcPr>
            <w:tcW w:w="551" w:type="dxa"/>
            <w:vAlign w:val="center"/>
          </w:tcPr>
          <w:p w14:paraId="00EE9697" w14:textId="77777777" w:rsidR="00053416" w:rsidRPr="00DE692F" w:rsidRDefault="00053416" w:rsidP="00053416">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5C13D75A" w14:textId="594CB69C" w:rsidR="00053416" w:rsidRPr="00DE692F" w:rsidRDefault="00053416" w:rsidP="00053416">
            <w:pPr>
              <w:rPr>
                <w:rFonts w:cs="Arial"/>
                <w:color w:val="000000" w:themeColor="text1"/>
                <w:sz w:val="20"/>
                <w:szCs w:val="20"/>
              </w:rPr>
            </w:pPr>
            <w:r w:rsidRPr="00DE692F">
              <w:rPr>
                <w:rFonts w:cs="Arial"/>
                <w:color w:val="000000" w:themeColor="text1"/>
                <w:sz w:val="20"/>
                <w:szCs w:val="20"/>
              </w:rPr>
              <w:t>Producto 2.2.3</w:t>
            </w:r>
          </w:p>
        </w:tc>
        <w:tc>
          <w:tcPr>
            <w:tcW w:w="4808" w:type="dxa"/>
            <w:vAlign w:val="center"/>
          </w:tcPr>
          <w:p w14:paraId="1199143B"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Matriz de Oportunidades de financiamiento.</w:t>
            </w:r>
          </w:p>
          <w:p w14:paraId="38A9E517" w14:textId="77777777" w:rsidR="00207E21" w:rsidRPr="00207E21" w:rsidRDefault="00207E21" w:rsidP="00207E21">
            <w:pPr>
              <w:rPr>
                <w:rFonts w:cs="Arial"/>
                <w:color w:val="000000" w:themeColor="text1"/>
                <w:sz w:val="20"/>
                <w:szCs w:val="20"/>
              </w:rPr>
            </w:pPr>
          </w:p>
          <w:p w14:paraId="68C66C09"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Términos de Referencia del Servicio de Asistencia Técnica a Bionegocios en la región Amazonas,  para el Proyecto ID GEF 10307 FOLUR</w:t>
            </w:r>
          </w:p>
          <w:p w14:paraId="1F2B7674" w14:textId="77777777" w:rsidR="00207E21" w:rsidRPr="00207E21" w:rsidRDefault="00207E21" w:rsidP="00207E21">
            <w:pPr>
              <w:rPr>
                <w:rFonts w:cs="Arial"/>
                <w:color w:val="000000" w:themeColor="text1"/>
                <w:sz w:val="20"/>
                <w:szCs w:val="20"/>
              </w:rPr>
            </w:pPr>
          </w:p>
          <w:p w14:paraId="00396FE4" w14:textId="616C0A2B" w:rsidR="00053416" w:rsidRPr="00DE692F" w:rsidRDefault="00207E21" w:rsidP="00207E21">
            <w:pPr>
              <w:rPr>
                <w:rFonts w:cs="Arial"/>
                <w:color w:val="000000" w:themeColor="text1"/>
                <w:sz w:val="20"/>
                <w:szCs w:val="20"/>
              </w:rPr>
            </w:pPr>
            <w:r w:rsidRPr="00207E21">
              <w:rPr>
                <w:rFonts w:cs="Arial"/>
                <w:color w:val="000000" w:themeColor="text1"/>
                <w:sz w:val="20"/>
                <w:szCs w:val="20"/>
              </w:rPr>
              <w:t>Términos de Referencia del Servicio de Asistencia Técnica a Bionegocios en la provincia de San Ignacio de la región Cajamarca, para el Proyecto ID GEF 10307 FOLUR.</w:t>
            </w:r>
          </w:p>
        </w:tc>
        <w:tc>
          <w:tcPr>
            <w:tcW w:w="4406" w:type="dxa"/>
            <w:vAlign w:val="center"/>
          </w:tcPr>
          <w:p w14:paraId="368634C0" w14:textId="75413FDB" w:rsidR="00053416" w:rsidRPr="00DE692F" w:rsidRDefault="00053416" w:rsidP="00053416">
            <w:pPr>
              <w:rPr>
                <w:rFonts w:cs="Arial"/>
                <w:color w:val="000000" w:themeColor="text1"/>
                <w:sz w:val="20"/>
                <w:szCs w:val="20"/>
              </w:rPr>
            </w:pPr>
            <w:hyperlink r:id="rId42" w:history="1">
              <w:r w:rsidRPr="00DE692F">
                <w:rPr>
                  <w:rStyle w:val="Hipervnculo"/>
                  <w:rFonts w:cs="Arial"/>
                  <w:sz w:val="20"/>
                  <w:szCs w:val="20"/>
                </w:rPr>
                <w:t>https://drive.google.com/open?id=1ppzqMkfK3pppMaKX</w:t>
              </w:r>
              <w:r w:rsidRPr="00DE692F">
                <w:rPr>
                  <w:rStyle w:val="Hipervnculo"/>
                  <w:rFonts w:cs="Arial"/>
                  <w:sz w:val="20"/>
                  <w:szCs w:val="20"/>
                </w:rPr>
                <w:t>S</w:t>
              </w:r>
              <w:r w:rsidRPr="00DE692F">
                <w:rPr>
                  <w:rStyle w:val="Hipervnculo"/>
                  <w:rFonts w:cs="Arial"/>
                  <w:sz w:val="20"/>
                  <w:szCs w:val="20"/>
                </w:rPr>
                <w:t>NMR_bKgteS-pemA&amp;usp=drive_fs</w:t>
              </w:r>
            </w:hyperlink>
            <w:r w:rsidRPr="00DE692F">
              <w:rPr>
                <w:rFonts w:cs="Arial"/>
                <w:color w:val="000000" w:themeColor="text1"/>
                <w:sz w:val="20"/>
                <w:szCs w:val="20"/>
              </w:rPr>
              <w:t xml:space="preserve"> </w:t>
            </w:r>
          </w:p>
        </w:tc>
      </w:tr>
      <w:tr w:rsidR="00053416" w:rsidRPr="00DE692F" w14:paraId="62DF46D0" w14:textId="77777777" w:rsidTr="00A30651">
        <w:trPr>
          <w:trHeight w:val="300"/>
        </w:trPr>
        <w:tc>
          <w:tcPr>
            <w:tcW w:w="551" w:type="dxa"/>
            <w:vAlign w:val="center"/>
          </w:tcPr>
          <w:p w14:paraId="5770EE79" w14:textId="77777777" w:rsidR="00053416" w:rsidRPr="00DE692F" w:rsidRDefault="00053416" w:rsidP="00053416">
            <w:pPr>
              <w:pStyle w:val="Prrafodelista"/>
              <w:numPr>
                <w:ilvl w:val="0"/>
                <w:numId w:val="27"/>
              </w:numPr>
              <w:rPr>
                <w:rFonts w:ascii="Arial" w:hAnsi="Arial" w:cs="Arial"/>
                <w:color w:val="000000" w:themeColor="text1"/>
                <w:sz w:val="20"/>
                <w:szCs w:val="20"/>
              </w:rPr>
            </w:pPr>
          </w:p>
        </w:tc>
        <w:tc>
          <w:tcPr>
            <w:tcW w:w="5103" w:type="dxa"/>
            <w:vMerge/>
            <w:vAlign w:val="center"/>
          </w:tcPr>
          <w:p w14:paraId="2279729F" w14:textId="77777777" w:rsidR="00053416" w:rsidRPr="00DE692F" w:rsidRDefault="00053416" w:rsidP="00053416">
            <w:pPr>
              <w:rPr>
                <w:rFonts w:cs="Arial"/>
                <w:color w:val="000000" w:themeColor="text1"/>
                <w:sz w:val="20"/>
                <w:szCs w:val="20"/>
              </w:rPr>
            </w:pPr>
          </w:p>
        </w:tc>
        <w:tc>
          <w:tcPr>
            <w:tcW w:w="4808" w:type="dxa"/>
            <w:vAlign w:val="center"/>
          </w:tcPr>
          <w:p w14:paraId="282F0F5C" w14:textId="156EC265" w:rsidR="00053416" w:rsidRPr="00DE692F" w:rsidRDefault="00053416" w:rsidP="00053416">
            <w:pPr>
              <w:rPr>
                <w:rFonts w:cs="Arial"/>
                <w:color w:val="000000" w:themeColor="text1"/>
                <w:sz w:val="20"/>
                <w:szCs w:val="20"/>
              </w:rPr>
            </w:pPr>
            <w:r w:rsidRPr="00DE692F">
              <w:rPr>
                <w:rFonts w:cs="Arial"/>
                <w:color w:val="000000" w:themeColor="text1"/>
                <w:sz w:val="20"/>
                <w:szCs w:val="20"/>
              </w:rPr>
              <w:t>Términos del Referencia del servicio de Análisis Focalizado de escenarios para la cadena de valor del café Targeted Scenario Analysis (TSA) Proyecto GEF 10307 “Cadenas de valor libres de deforestación en la Amazonía peruana” en revisión por PNUD</w:t>
            </w:r>
          </w:p>
        </w:tc>
        <w:tc>
          <w:tcPr>
            <w:tcW w:w="4406" w:type="dxa"/>
            <w:vAlign w:val="center"/>
          </w:tcPr>
          <w:p w14:paraId="306D0ED8" w14:textId="1EA2A0E7" w:rsidR="00053416" w:rsidRPr="00DE692F" w:rsidRDefault="00053416" w:rsidP="00053416">
            <w:pPr>
              <w:rPr>
                <w:rFonts w:cs="Arial"/>
                <w:color w:val="000000" w:themeColor="text1"/>
                <w:sz w:val="20"/>
                <w:szCs w:val="20"/>
              </w:rPr>
            </w:pPr>
            <w:hyperlink r:id="rId43" w:history="1">
              <w:r w:rsidRPr="00DE692F">
                <w:rPr>
                  <w:rStyle w:val="Hipervnculo"/>
                  <w:rFonts w:cs="Arial"/>
                  <w:sz w:val="20"/>
                  <w:szCs w:val="20"/>
                </w:rPr>
                <w:t>https://drive.google.com/open?id=1Sy3Pd3FjXoJALXKtokAJdhIF9L74Rlgf&amp;usp=drive_fs</w:t>
              </w:r>
            </w:hyperlink>
            <w:r w:rsidRPr="00DE692F">
              <w:rPr>
                <w:rFonts w:cs="Arial"/>
                <w:color w:val="000000" w:themeColor="text1"/>
                <w:sz w:val="20"/>
                <w:szCs w:val="20"/>
              </w:rPr>
              <w:t xml:space="preserve"> </w:t>
            </w:r>
          </w:p>
        </w:tc>
      </w:tr>
      <w:tr w:rsidR="00053416" w:rsidRPr="00DE692F" w14:paraId="415A59F0" w14:textId="77777777" w:rsidTr="000D4907">
        <w:trPr>
          <w:trHeight w:val="300"/>
        </w:trPr>
        <w:tc>
          <w:tcPr>
            <w:tcW w:w="14868" w:type="dxa"/>
            <w:gridSpan w:val="4"/>
            <w:vAlign w:val="center"/>
          </w:tcPr>
          <w:p w14:paraId="397E67A1" w14:textId="418E85B6" w:rsidR="00053416" w:rsidRPr="00DE692F" w:rsidRDefault="00053416" w:rsidP="00053416">
            <w:pPr>
              <w:jc w:val="left"/>
              <w:rPr>
                <w:rFonts w:cs="Arial"/>
                <w:color w:val="000000" w:themeColor="text1"/>
                <w:sz w:val="20"/>
                <w:szCs w:val="20"/>
              </w:rPr>
            </w:pPr>
            <w:r w:rsidRPr="00DE692F">
              <w:rPr>
                <w:b/>
                <w:bCs/>
                <w:color w:val="000000"/>
                <w:sz w:val="20"/>
                <w:szCs w:val="20"/>
              </w:rPr>
              <w:t>COMPONENTE 3</w:t>
            </w:r>
          </w:p>
        </w:tc>
      </w:tr>
      <w:tr w:rsidR="00053416" w:rsidRPr="00DE692F" w14:paraId="74CCBEB4" w14:textId="77777777" w:rsidTr="00FB6C26">
        <w:trPr>
          <w:trHeight w:val="300"/>
        </w:trPr>
        <w:tc>
          <w:tcPr>
            <w:tcW w:w="14868" w:type="dxa"/>
            <w:gridSpan w:val="4"/>
            <w:vAlign w:val="center"/>
          </w:tcPr>
          <w:p w14:paraId="3C71CCDB" w14:textId="55D3B5F7" w:rsidR="00053416" w:rsidRPr="00DE692F" w:rsidRDefault="00053416" w:rsidP="00053416">
            <w:pPr>
              <w:jc w:val="left"/>
              <w:rPr>
                <w:rFonts w:cs="Arial"/>
                <w:color w:val="000000" w:themeColor="text1"/>
                <w:sz w:val="20"/>
                <w:szCs w:val="20"/>
              </w:rPr>
            </w:pPr>
            <w:r w:rsidRPr="00DE692F">
              <w:rPr>
                <w:b/>
                <w:bCs/>
                <w:color w:val="000000"/>
                <w:sz w:val="20"/>
                <w:szCs w:val="20"/>
              </w:rPr>
              <w:t>Resultado 5</w:t>
            </w:r>
          </w:p>
        </w:tc>
      </w:tr>
      <w:tr w:rsidR="003D62C2" w:rsidRPr="00DE692F" w14:paraId="6DB2685D" w14:textId="77777777" w:rsidTr="00A30651">
        <w:trPr>
          <w:trHeight w:val="300"/>
        </w:trPr>
        <w:tc>
          <w:tcPr>
            <w:tcW w:w="551" w:type="dxa"/>
            <w:vAlign w:val="center"/>
          </w:tcPr>
          <w:p w14:paraId="32509A01" w14:textId="77777777" w:rsidR="003D62C2" w:rsidRPr="00DE692F" w:rsidRDefault="003D62C2" w:rsidP="00053416">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5930DB33" w14:textId="59B9E04E" w:rsidR="003D62C2" w:rsidRPr="00DE692F" w:rsidRDefault="003D62C2" w:rsidP="00053416">
            <w:pPr>
              <w:rPr>
                <w:rFonts w:cs="Arial"/>
                <w:color w:val="000000" w:themeColor="text1"/>
                <w:sz w:val="20"/>
                <w:szCs w:val="20"/>
              </w:rPr>
            </w:pPr>
            <w:r w:rsidRPr="00DE692F">
              <w:rPr>
                <w:rFonts w:cs="Arial"/>
                <w:color w:val="000000" w:themeColor="text1"/>
                <w:sz w:val="20"/>
                <w:szCs w:val="20"/>
              </w:rPr>
              <w:t>Producto 3.1.1</w:t>
            </w:r>
          </w:p>
        </w:tc>
        <w:tc>
          <w:tcPr>
            <w:tcW w:w="4808" w:type="dxa"/>
            <w:vAlign w:val="center"/>
          </w:tcPr>
          <w:p w14:paraId="26510986" w14:textId="77777777" w:rsidR="003D62C2" w:rsidRPr="00DE692F" w:rsidRDefault="003D62C2" w:rsidP="003D62C2">
            <w:pPr>
              <w:rPr>
                <w:rFonts w:cs="Arial"/>
                <w:color w:val="000000" w:themeColor="text1"/>
                <w:sz w:val="20"/>
                <w:szCs w:val="20"/>
              </w:rPr>
            </w:pPr>
            <w:r w:rsidRPr="00DE692F">
              <w:rPr>
                <w:rFonts w:cs="Arial"/>
                <w:color w:val="000000" w:themeColor="text1"/>
                <w:sz w:val="20"/>
                <w:szCs w:val="20"/>
              </w:rPr>
              <w:t>Memoria descriptiva y Mapa de ecosistemas de Amazonas</w:t>
            </w:r>
          </w:p>
          <w:p w14:paraId="0DE72536" w14:textId="77777777" w:rsidR="003D62C2" w:rsidRPr="00DE692F" w:rsidRDefault="003D62C2" w:rsidP="003D62C2">
            <w:pPr>
              <w:rPr>
                <w:rFonts w:cs="Arial"/>
                <w:color w:val="000000" w:themeColor="text1"/>
                <w:sz w:val="20"/>
                <w:szCs w:val="20"/>
              </w:rPr>
            </w:pPr>
          </w:p>
          <w:p w14:paraId="42560E44" w14:textId="778B3FB0" w:rsidR="003D62C2" w:rsidRPr="00DE692F" w:rsidRDefault="003D62C2" w:rsidP="003D62C2">
            <w:pPr>
              <w:rPr>
                <w:rFonts w:cs="Arial"/>
                <w:color w:val="000000" w:themeColor="text1"/>
                <w:sz w:val="20"/>
                <w:szCs w:val="20"/>
              </w:rPr>
            </w:pPr>
            <w:r w:rsidRPr="00DE692F">
              <w:rPr>
                <w:rFonts w:cs="Arial"/>
                <w:color w:val="000000" w:themeColor="text1"/>
                <w:sz w:val="20"/>
                <w:szCs w:val="20"/>
              </w:rPr>
              <w:t>Producto 2, propuesta de leyenda del mapa de ecosistemas de Cajamarca</w:t>
            </w:r>
          </w:p>
        </w:tc>
        <w:tc>
          <w:tcPr>
            <w:tcW w:w="4406" w:type="dxa"/>
            <w:vAlign w:val="center"/>
          </w:tcPr>
          <w:p w14:paraId="7A6E1F44" w14:textId="4337A257" w:rsidR="003D62C2" w:rsidRPr="00DE692F" w:rsidRDefault="003D62C2" w:rsidP="00053416">
            <w:pPr>
              <w:rPr>
                <w:rFonts w:cs="Arial"/>
                <w:color w:val="000000" w:themeColor="text1"/>
                <w:sz w:val="20"/>
                <w:szCs w:val="20"/>
              </w:rPr>
            </w:pPr>
            <w:hyperlink r:id="rId44" w:history="1">
              <w:r w:rsidRPr="00DE692F">
                <w:rPr>
                  <w:rStyle w:val="Hipervnculo"/>
                  <w:rFonts w:cs="Arial"/>
                  <w:sz w:val="20"/>
                  <w:szCs w:val="20"/>
                </w:rPr>
                <w:t>https://drive.google.com/open?id=1iMsCf0_L2Jcc_BRJIpTnmjtmy8VC5Eeq&amp;usp=drive_fs</w:t>
              </w:r>
            </w:hyperlink>
            <w:r w:rsidRPr="00DE692F">
              <w:rPr>
                <w:rFonts w:cs="Arial"/>
                <w:color w:val="000000" w:themeColor="text1"/>
                <w:sz w:val="20"/>
                <w:szCs w:val="20"/>
              </w:rPr>
              <w:t xml:space="preserve"> </w:t>
            </w:r>
          </w:p>
        </w:tc>
      </w:tr>
      <w:tr w:rsidR="003D62C2" w:rsidRPr="00DE692F" w14:paraId="130EF4A9" w14:textId="77777777" w:rsidTr="00A30651">
        <w:trPr>
          <w:trHeight w:val="300"/>
        </w:trPr>
        <w:tc>
          <w:tcPr>
            <w:tcW w:w="551" w:type="dxa"/>
            <w:vAlign w:val="center"/>
          </w:tcPr>
          <w:p w14:paraId="705AB0F1" w14:textId="77777777" w:rsidR="003D62C2" w:rsidRPr="00DE692F" w:rsidRDefault="003D62C2" w:rsidP="00053416">
            <w:pPr>
              <w:pStyle w:val="Prrafodelista"/>
              <w:numPr>
                <w:ilvl w:val="0"/>
                <w:numId w:val="27"/>
              </w:numPr>
              <w:rPr>
                <w:rFonts w:ascii="Arial" w:hAnsi="Arial" w:cs="Arial"/>
                <w:color w:val="000000" w:themeColor="text1"/>
                <w:sz w:val="20"/>
                <w:szCs w:val="20"/>
              </w:rPr>
            </w:pPr>
          </w:p>
        </w:tc>
        <w:tc>
          <w:tcPr>
            <w:tcW w:w="5103" w:type="dxa"/>
            <w:vMerge/>
            <w:vAlign w:val="center"/>
          </w:tcPr>
          <w:p w14:paraId="624302D0" w14:textId="0B53B70A" w:rsidR="003D62C2" w:rsidRPr="00DE692F" w:rsidRDefault="003D62C2" w:rsidP="00053416">
            <w:pPr>
              <w:rPr>
                <w:rFonts w:cs="Arial"/>
                <w:color w:val="000000" w:themeColor="text1"/>
                <w:sz w:val="20"/>
                <w:szCs w:val="20"/>
              </w:rPr>
            </w:pPr>
          </w:p>
        </w:tc>
        <w:tc>
          <w:tcPr>
            <w:tcW w:w="4808" w:type="dxa"/>
            <w:vAlign w:val="center"/>
          </w:tcPr>
          <w:p w14:paraId="36FBB920" w14:textId="77777777" w:rsidR="003D62C2" w:rsidRPr="008A14B0" w:rsidRDefault="003D62C2" w:rsidP="003D62C2">
            <w:pPr>
              <w:rPr>
                <w:rFonts w:cs="Arial"/>
                <w:color w:val="000000" w:themeColor="text1"/>
                <w:sz w:val="20"/>
                <w:szCs w:val="20"/>
                <w:lang w:val="pt-PT"/>
              </w:rPr>
            </w:pPr>
            <w:r w:rsidRPr="008A14B0">
              <w:rPr>
                <w:rFonts w:cs="Arial"/>
                <w:color w:val="000000" w:themeColor="text1"/>
                <w:sz w:val="20"/>
                <w:szCs w:val="20"/>
                <w:lang w:val="pt-PT"/>
              </w:rPr>
              <w:t>Memoria descriptiva y Mapa de áreas degradadas de Amazonas</w:t>
            </w:r>
          </w:p>
          <w:p w14:paraId="71F9D66A" w14:textId="77777777" w:rsidR="003D62C2" w:rsidRPr="008A14B0" w:rsidRDefault="003D62C2" w:rsidP="003D62C2">
            <w:pPr>
              <w:rPr>
                <w:rFonts w:cs="Arial"/>
                <w:color w:val="000000" w:themeColor="text1"/>
                <w:sz w:val="20"/>
                <w:szCs w:val="20"/>
                <w:lang w:val="pt-PT"/>
              </w:rPr>
            </w:pPr>
          </w:p>
          <w:p w14:paraId="3FCFC9BE" w14:textId="18A39FE3" w:rsidR="003D62C2" w:rsidRPr="00DE692F" w:rsidRDefault="003D62C2" w:rsidP="003D62C2">
            <w:pPr>
              <w:rPr>
                <w:rFonts w:cs="Arial"/>
                <w:color w:val="000000" w:themeColor="text1"/>
                <w:sz w:val="20"/>
                <w:szCs w:val="20"/>
              </w:rPr>
            </w:pPr>
            <w:r w:rsidRPr="00DE692F">
              <w:rPr>
                <w:rFonts w:cs="Arial"/>
                <w:color w:val="000000" w:themeColor="text1"/>
                <w:sz w:val="20"/>
                <w:szCs w:val="20"/>
              </w:rPr>
              <w:t>Producto 2, propuesta de leyenda del mapa de áreas degradadas de Cajamarca</w:t>
            </w:r>
          </w:p>
        </w:tc>
        <w:tc>
          <w:tcPr>
            <w:tcW w:w="4406" w:type="dxa"/>
            <w:vAlign w:val="center"/>
          </w:tcPr>
          <w:p w14:paraId="217B523F" w14:textId="08751351" w:rsidR="003D62C2" w:rsidRPr="00DE692F" w:rsidRDefault="003D62C2" w:rsidP="00053416">
            <w:pPr>
              <w:rPr>
                <w:rFonts w:cs="Arial"/>
                <w:color w:val="000000" w:themeColor="text1"/>
                <w:sz w:val="20"/>
                <w:szCs w:val="20"/>
              </w:rPr>
            </w:pPr>
            <w:hyperlink r:id="rId45" w:history="1">
              <w:r w:rsidRPr="00DE692F">
                <w:rPr>
                  <w:rStyle w:val="Hipervnculo"/>
                  <w:rFonts w:cs="Arial"/>
                  <w:sz w:val="20"/>
                  <w:szCs w:val="20"/>
                </w:rPr>
                <w:t>https://drive.google.com/open?id=1HaT9jd2y3TX2LFF70lNm7qVvOgORwz0P&amp;usp=drive_fs</w:t>
              </w:r>
            </w:hyperlink>
            <w:r w:rsidRPr="00DE692F">
              <w:rPr>
                <w:rFonts w:cs="Arial"/>
                <w:color w:val="000000" w:themeColor="text1"/>
                <w:sz w:val="20"/>
                <w:szCs w:val="20"/>
              </w:rPr>
              <w:t xml:space="preserve"> </w:t>
            </w:r>
          </w:p>
        </w:tc>
      </w:tr>
      <w:tr w:rsidR="003D62C2" w:rsidRPr="00DE692F" w14:paraId="5AFEE13E" w14:textId="77777777" w:rsidTr="00A30651">
        <w:trPr>
          <w:trHeight w:val="300"/>
        </w:trPr>
        <w:tc>
          <w:tcPr>
            <w:tcW w:w="551" w:type="dxa"/>
            <w:vAlign w:val="center"/>
          </w:tcPr>
          <w:p w14:paraId="3FCCAC98" w14:textId="77777777" w:rsidR="003D62C2" w:rsidRPr="00DE692F" w:rsidRDefault="003D62C2" w:rsidP="00053416">
            <w:pPr>
              <w:pStyle w:val="Prrafodelista"/>
              <w:numPr>
                <w:ilvl w:val="0"/>
                <w:numId w:val="27"/>
              </w:numPr>
              <w:rPr>
                <w:rFonts w:ascii="Arial" w:hAnsi="Arial" w:cs="Arial"/>
                <w:color w:val="000000" w:themeColor="text1"/>
                <w:sz w:val="20"/>
                <w:szCs w:val="20"/>
              </w:rPr>
            </w:pPr>
          </w:p>
        </w:tc>
        <w:tc>
          <w:tcPr>
            <w:tcW w:w="5103" w:type="dxa"/>
            <w:vMerge/>
            <w:vAlign w:val="center"/>
          </w:tcPr>
          <w:p w14:paraId="2A061BB6" w14:textId="25A1B5E7" w:rsidR="003D62C2" w:rsidRPr="00DE692F" w:rsidRDefault="003D62C2" w:rsidP="00053416">
            <w:pPr>
              <w:rPr>
                <w:rFonts w:cs="Arial"/>
                <w:color w:val="000000" w:themeColor="text1"/>
                <w:sz w:val="20"/>
                <w:szCs w:val="20"/>
              </w:rPr>
            </w:pPr>
          </w:p>
        </w:tc>
        <w:tc>
          <w:tcPr>
            <w:tcW w:w="4808" w:type="dxa"/>
            <w:vAlign w:val="center"/>
          </w:tcPr>
          <w:p w14:paraId="4761DC73" w14:textId="7097DE5B" w:rsidR="003D62C2" w:rsidRPr="00DE692F" w:rsidRDefault="003D62C2" w:rsidP="00053416">
            <w:pPr>
              <w:rPr>
                <w:rFonts w:cs="Arial"/>
                <w:color w:val="000000" w:themeColor="text1"/>
                <w:sz w:val="20"/>
                <w:szCs w:val="20"/>
              </w:rPr>
            </w:pPr>
            <w:r w:rsidRPr="00DE692F">
              <w:rPr>
                <w:rFonts w:cs="Arial"/>
                <w:color w:val="000000" w:themeColor="text1"/>
                <w:sz w:val="20"/>
                <w:szCs w:val="20"/>
              </w:rPr>
              <w:t>Informe de identificacion de los bosques de alto valor de conservacion en el ambito del proyecto Folur</w:t>
            </w:r>
          </w:p>
        </w:tc>
        <w:tc>
          <w:tcPr>
            <w:tcW w:w="4406" w:type="dxa"/>
            <w:vAlign w:val="center"/>
          </w:tcPr>
          <w:p w14:paraId="1052FE9F" w14:textId="1CB92714" w:rsidR="003D62C2" w:rsidRPr="00DE692F" w:rsidRDefault="003D62C2" w:rsidP="00053416">
            <w:pPr>
              <w:rPr>
                <w:rFonts w:cs="Arial"/>
                <w:color w:val="000000" w:themeColor="text1"/>
                <w:sz w:val="20"/>
                <w:szCs w:val="20"/>
              </w:rPr>
            </w:pPr>
            <w:hyperlink r:id="rId46" w:history="1">
              <w:r w:rsidRPr="00DE692F">
                <w:rPr>
                  <w:rStyle w:val="Hipervnculo"/>
                  <w:rFonts w:cs="Arial"/>
                  <w:sz w:val="20"/>
                  <w:szCs w:val="20"/>
                </w:rPr>
                <w:t>https://drive.google.com/open?id=1poKVybKajiPIpDvgFwwDnFoiuDkh5HsL&amp;usp=drive_fs</w:t>
              </w:r>
            </w:hyperlink>
            <w:r w:rsidRPr="00DE692F">
              <w:rPr>
                <w:rFonts w:cs="Arial"/>
                <w:color w:val="000000" w:themeColor="text1"/>
                <w:sz w:val="20"/>
                <w:szCs w:val="20"/>
              </w:rPr>
              <w:t xml:space="preserve"> </w:t>
            </w:r>
          </w:p>
        </w:tc>
      </w:tr>
      <w:tr w:rsidR="003D62C2" w:rsidRPr="00DE692F" w14:paraId="39168A7F" w14:textId="77777777" w:rsidTr="00A30651">
        <w:trPr>
          <w:trHeight w:val="300"/>
        </w:trPr>
        <w:tc>
          <w:tcPr>
            <w:tcW w:w="551" w:type="dxa"/>
            <w:vAlign w:val="center"/>
          </w:tcPr>
          <w:p w14:paraId="7F13EC4C" w14:textId="77777777" w:rsidR="003D62C2" w:rsidRPr="00DE692F" w:rsidRDefault="003D62C2" w:rsidP="00053416">
            <w:pPr>
              <w:pStyle w:val="Prrafodelista"/>
              <w:numPr>
                <w:ilvl w:val="0"/>
                <w:numId w:val="27"/>
              </w:numPr>
              <w:rPr>
                <w:rFonts w:ascii="Arial" w:hAnsi="Arial" w:cs="Arial"/>
                <w:color w:val="000000" w:themeColor="text1"/>
                <w:sz w:val="20"/>
                <w:szCs w:val="20"/>
              </w:rPr>
            </w:pPr>
          </w:p>
        </w:tc>
        <w:tc>
          <w:tcPr>
            <w:tcW w:w="5103" w:type="dxa"/>
            <w:vMerge/>
            <w:vAlign w:val="center"/>
          </w:tcPr>
          <w:p w14:paraId="3A5D2B93" w14:textId="47CC37E5" w:rsidR="003D62C2" w:rsidRPr="00DE692F" w:rsidRDefault="003D62C2" w:rsidP="00053416">
            <w:pPr>
              <w:rPr>
                <w:rFonts w:cs="Arial"/>
                <w:color w:val="000000" w:themeColor="text1"/>
                <w:sz w:val="20"/>
                <w:szCs w:val="20"/>
              </w:rPr>
            </w:pPr>
          </w:p>
        </w:tc>
        <w:tc>
          <w:tcPr>
            <w:tcW w:w="4808" w:type="dxa"/>
            <w:vAlign w:val="center"/>
          </w:tcPr>
          <w:p w14:paraId="235D8BEF" w14:textId="65F8B22F" w:rsidR="003D62C2" w:rsidRPr="00DE692F" w:rsidRDefault="003D62C2" w:rsidP="00053416">
            <w:pPr>
              <w:rPr>
                <w:rFonts w:cs="Arial"/>
                <w:color w:val="000000" w:themeColor="text1"/>
                <w:sz w:val="20"/>
                <w:szCs w:val="20"/>
              </w:rPr>
            </w:pPr>
            <w:r w:rsidRPr="00DE692F">
              <w:rPr>
                <w:rFonts w:cs="Arial"/>
                <w:color w:val="000000" w:themeColor="text1"/>
                <w:sz w:val="20"/>
                <w:szCs w:val="20"/>
              </w:rPr>
              <w:t>Productos de la consultoría “Servicio especializado para la estimación, monitoreo y reporte de gases de efecto invernadero (GEI) atribuibles a las intervenciones del proyecto GEF 10307: “Cadenas de Valor Libres de Deforestación en la Amazonía Peruana” (Proyecto FOLUR)”,</w:t>
            </w:r>
          </w:p>
        </w:tc>
        <w:tc>
          <w:tcPr>
            <w:tcW w:w="4406" w:type="dxa"/>
            <w:vAlign w:val="center"/>
          </w:tcPr>
          <w:p w14:paraId="56CE0805" w14:textId="0D0F41AF" w:rsidR="003D62C2" w:rsidRPr="00DE692F" w:rsidRDefault="003D62C2" w:rsidP="00053416">
            <w:pPr>
              <w:rPr>
                <w:rFonts w:cs="Arial"/>
                <w:color w:val="000000" w:themeColor="text1"/>
                <w:sz w:val="20"/>
                <w:szCs w:val="20"/>
              </w:rPr>
            </w:pPr>
            <w:hyperlink r:id="rId47" w:history="1">
              <w:r w:rsidRPr="00DE692F">
                <w:rPr>
                  <w:rStyle w:val="Hipervnculo"/>
                  <w:rFonts w:cs="Arial"/>
                  <w:sz w:val="20"/>
                  <w:szCs w:val="20"/>
                </w:rPr>
                <w:t>https://drive.google.com/open?id=1vj6qJaCkLV5nQGrL-LvY5w-ZtRxTS1u7&amp;usp=drive_fs</w:t>
              </w:r>
            </w:hyperlink>
            <w:r w:rsidRPr="00DE692F">
              <w:rPr>
                <w:rFonts w:cs="Arial"/>
                <w:color w:val="000000" w:themeColor="text1"/>
                <w:sz w:val="20"/>
                <w:szCs w:val="20"/>
              </w:rPr>
              <w:t xml:space="preserve"> </w:t>
            </w:r>
          </w:p>
        </w:tc>
      </w:tr>
      <w:tr w:rsidR="003D62C2" w:rsidRPr="00DE692F" w14:paraId="65BC347E" w14:textId="77777777" w:rsidTr="00A30651">
        <w:trPr>
          <w:trHeight w:val="300"/>
        </w:trPr>
        <w:tc>
          <w:tcPr>
            <w:tcW w:w="551" w:type="dxa"/>
            <w:vAlign w:val="center"/>
          </w:tcPr>
          <w:p w14:paraId="30CC0C72" w14:textId="77777777" w:rsidR="003D62C2" w:rsidRPr="00DE692F" w:rsidRDefault="003D62C2" w:rsidP="003D62C2">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1F0630E1" w14:textId="4D883420" w:rsidR="003D62C2" w:rsidRPr="00DE692F" w:rsidRDefault="003D62C2" w:rsidP="003D62C2">
            <w:pPr>
              <w:rPr>
                <w:rFonts w:cs="Arial"/>
                <w:color w:val="000000" w:themeColor="text1"/>
                <w:sz w:val="20"/>
                <w:szCs w:val="20"/>
              </w:rPr>
            </w:pPr>
            <w:r w:rsidRPr="00DE692F">
              <w:rPr>
                <w:rFonts w:cs="Arial"/>
                <w:color w:val="000000" w:themeColor="text1"/>
                <w:sz w:val="20"/>
                <w:szCs w:val="20"/>
              </w:rPr>
              <w:t>Producto 3.1.2</w:t>
            </w:r>
          </w:p>
        </w:tc>
        <w:tc>
          <w:tcPr>
            <w:tcW w:w="4808" w:type="dxa"/>
            <w:vAlign w:val="center"/>
          </w:tcPr>
          <w:p w14:paraId="67F07196" w14:textId="77777777" w:rsidR="003D62C2" w:rsidRPr="00DE692F" w:rsidRDefault="003D62C2" w:rsidP="003D62C2">
            <w:pPr>
              <w:rPr>
                <w:rFonts w:cs="Arial"/>
                <w:color w:val="000000" w:themeColor="text1"/>
                <w:sz w:val="20"/>
                <w:szCs w:val="20"/>
              </w:rPr>
            </w:pPr>
            <w:r w:rsidRPr="00DE692F">
              <w:rPr>
                <w:rFonts w:cs="Arial"/>
                <w:color w:val="000000" w:themeColor="text1"/>
                <w:sz w:val="20"/>
                <w:szCs w:val="20"/>
              </w:rPr>
              <w:t>Minutas de reuniones con SNTN</w:t>
            </w:r>
          </w:p>
          <w:p w14:paraId="0E4277F7" w14:textId="77777777" w:rsidR="003D62C2" w:rsidRPr="00DE692F" w:rsidRDefault="003D62C2" w:rsidP="003D62C2">
            <w:pPr>
              <w:rPr>
                <w:rFonts w:cs="Arial"/>
                <w:color w:val="000000" w:themeColor="text1"/>
                <w:sz w:val="20"/>
                <w:szCs w:val="20"/>
              </w:rPr>
            </w:pPr>
          </w:p>
          <w:p w14:paraId="4B8DFBCF" w14:textId="2700E47F" w:rsidR="003D62C2" w:rsidRPr="00DE692F" w:rsidRDefault="003D62C2" w:rsidP="003D62C2">
            <w:pPr>
              <w:rPr>
                <w:rFonts w:cs="Arial"/>
                <w:color w:val="000000" w:themeColor="text1"/>
                <w:sz w:val="20"/>
                <w:szCs w:val="20"/>
              </w:rPr>
            </w:pPr>
            <w:r w:rsidRPr="00DE692F">
              <w:rPr>
                <w:rFonts w:cs="Arial"/>
                <w:color w:val="000000" w:themeColor="text1"/>
                <w:sz w:val="20"/>
                <w:szCs w:val="20"/>
              </w:rPr>
              <w:t>Minutas de reuniones con ORDEPIAA</w:t>
            </w:r>
          </w:p>
        </w:tc>
        <w:tc>
          <w:tcPr>
            <w:tcW w:w="4406" w:type="dxa"/>
            <w:vAlign w:val="center"/>
          </w:tcPr>
          <w:p w14:paraId="21020666" w14:textId="068E6A10" w:rsidR="003D62C2" w:rsidRPr="00DE692F" w:rsidRDefault="003D62C2" w:rsidP="003D62C2">
            <w:pPr>
              <w:rPr>
                <w:rFonts w:cs="Arial"/>
                <w:color w:val="000000" w:themeColor="text1"/>
                <w:sz w:val="20"/>
                <w:szCs w:val="20"/>
              </w:rPr>
            </w:pPr>
            <w:hyperlink r:id="rId48" w:history="1">
              <w:r w:rsidRPr="00DE692F">
                <w:rPr>
                  <w:rStyle w:val="Hipervnculo"/>
                  <w:rFonts w:cs="Arial"/>
                  <w:sz w:val="20"/>
                  <w:szCs w:val="20"/>
                </w:rPr>
                <w:t>https://drive.google.com/open?id=1n0TnY2oB7SqymuXvTMLSHvE3aevy3Wu5&amp;usp=drive_fs</w:t>
              </w:r>
            </w:hyperlink>
            <w:r w:rsidRPr="00DE692F">
              <w:rPr>
                <w:rFonts w:cs="Arial"/>
                <w:color w:val="000000" w:themeColor="text1"/>
                <w:sz w:val="20"/>
                <w:szCs w:val="20"/>
              </w:rPr>
              <w:t xml:space="preserve"> </w:t>
            </w:r>
          </w:p>
        </w:tc>
      </w:tr>
      <w:tr w:rsidR="003D62C2" w:rsidRPr="00DE692F" w14:paraId="4B83DEA3" w14:textId="77777777" w:rsidTr="00A30651">
        <w:trPr>
          <w:trHeight w:val="300"/>
        </w:trPr>
        <w:tc>
          <w:tcPr>
            <w:tcW w:w="551" w:type="dxa"/>
            <w:vAlign w:val="center"/>
          </w:tcPr>
          <w:p w14:paraId="0036C3E2" w14:textId="77777777" w:rsidR="003D62C2" w:rsidRPr="00DE692F" w:rsidRDefault="003D62C2" w:rsidP="003D62C2">
            <w:pPr>
              <w:pStyle w:val="Prrafodelista"/>
              <w:numPr>
                <w:ilvl w:val="0"/>
                <w:numId w:val="27"/>
              </w:numPr>
              <w:rPr>
                <w:rFonts w:ascii="Arial" w:hAnsi="Arial" w:cs="Arial"/>
                <w:color w:val="000000" w:themeColor="text1"/>
                <w:sz w:val="20"/>
                <w:szCs w:val="20"/>
              </w:rPr>
            </w:pPr>
          </w:p>
        </w:tc>
        <w:tc>
          <w:tcPr>
            <w:tcW w:w="5103" w:type="dxa"/>
            <w:vMerge/>
            <w:vAlign w:val="center"/>
          </w:tcPr>
          <w:p w14:paraId="50055D1D" w14:textId="77777777" w:rsidR="003D62C2" w:rsidRPr="00DE692F" w:rsidRDefault="003D62C2" w:rsidP="003D62C2">
            <w:pPr>
              <w:rPr>
                <w:rFonts w:cs="Arial"/>
                <w:color w:val="000000" w:themeColor="text1"/>
                <w:sz w:val="20"/>
                <w:szCs w:val="20"/>
              </w:rPr>
            </w:pPr>
          </w:p>
        </w:tc>
        <w:tc>
          <w:tcPr>
            <w:tcW w:w="4808" w:type="dxa"/>
            <w:vAlign w:val="center"/>
          </w:tcPr>
          <w:p w14:paraId="1E7BBFAE" w14:textId="77777777" w:rsidR="003D62C2" w:rsidRPr="00DE692F" w:rsidRDefault="003D62C2" w:rsidP="003D62C2">
            <w:pPr>
              <w:rPr>
                <w:rFonts w:cs="Arial"/>
                <w:color w:val="000000" w:themeColor="text1"/>
                <w:sz w:val="20"/>
                <w:szCs w:val="20"/>
              </w:rPr>
            </w:pPr>
            <w:r w:rsidRPr="00DE692F">
              <w:rPr>
                <w:rFonts w:cs="Arial"/>
                <w:color w:val="000000" w:themeColor="text1"/>
                <w:sz w:val="20"/>
                <w:szCs w:val="20"/>
              </w:rPr>
              <w:t>Plan de Trabajo con SENANP (mención a acción con Aproctur)</w:t>
            </w:r>
          </w:p>
          <w:p w14:paraId="0C754257" w14:textId="77777777" w:rsidR="003D62C2" w:rsidRPr="00DE692F" w:rsidRDefault="003D62C2" w:rsidP="003D62C2">
            <w:pPr>
              <w:rPr>
                <w:rFonts w:cs="Arial"/>
                <w:color w:val="000000" w:themeColor="text1"/>
                <w:sz w:val="20"/>
                <w:szCs w:val="20"/>
              </w:rPr>
            </w:pPr>
          </w:p>
          <w:p w14:paraId="78D1FB39" w14:textId="097ECC11" w:rsidR="003D62C2" w:rsidRPr="00DE692F" w:rsidRDefault="003D62C2" w:rsidP="003D62C2">
            <w:pPr>
              <w:rPr>
                <w:rFonts w:cs="Arial"/>
                <w:color w:val="000000" w:themeColor="text1"/>
                <w:sz w:val="20"/>
                <w:szCs w:val="20"/>
              </w:rPr>
            </w:pPr>
            <w:r w:rsidRPr="00DE692F">
              <w:rPr>
                <w:rFonts w:cs="Arial"/>
                <w:color w:val="000000" w:themeColor="text1"/>
                <w:sz w:val="20"/>
                <w:szCs w:val="20"/>
              </w:rPr>
              <w:t>Plan de Trabajo con ORDEPIAA</w:t>
            </w:r>
          </w:p>
        </w:tc>
        <w:tc>
          <w:tcPr>
            <w:tcW w:w="4406" w:type="dxa"/>
            <w:vAlign w:val="center"/>
          </w:tcPr>
          <w:p w14:paraId="2A9FB231" w14:textId="3EF21214" w:rsidR="003D62C2" w:rsidRPr="00DE692F" w:rsidRDefault="003D62C2" w:rsidP="003D62C2">
            <w:pPr>
              <w:rPr>
                <w:rFonts w:cs="Arial"/>
                <w:color w:val="000000" w:themeColor="text1"/>
                <w:sz w:val="20"/>
                <w:szCs w:val="20"/>
              </w:rPr>
            </w:pPr>
            <w:hyperlink r:id="rId49" w:history="1">
              <w:r w:rsidRPr="00DE692F">
                <w:rPr>
                  <w:rStyle w:val="Hipervnculo"/>
                  <w:rFonts w:cs="Arial"/>
                  <w:sz w:val="20"/>
                  <w:szCs w:val="20"/>
                </w:rPr>
                <w:t>https://drive.google.com/open?id=18U7k2Vk5X5vHS-9aOo_uP0ZlHatqnVa1&amp;usp=drive_fs</w:t>
              </w:r>
            </w:hyperlink>
            <w:r w:rsidRPr="00DE692F">
              <w:rPr>
                <w:rFonts w:cs="Arial"/>
                <w:color w:val="000000" w:themeColor="text1"/>
                <w:sz w:val="20"/>
                <w:szCs w:val="20"/>
              </w:rPr>
              <w:t xml:space="preserve"> </w:t>
            </w:r>
          </w:p>
        </w:tc>
      </w:tr>
      <w:tr w:rsidR="003D62C2" w:rsidRPr="00DE692F" w14:paraId="592D3017" w14:textId="77777777" w:rsidTr="00A30651">
        <w:trPr>
          <w:trHeight w:val="300"/>
        </w:trPr>
        <w:tc>
          <w:tcPr>
            <w:tcW w:w="551" w:type="dxa"/>
            <w:vAlign w:val="center"/>
          </w:tcPr>
          <w:p w14:paraId="1D00EF14" w14:textId="77777777" w:rsidR="003D62C2" w:rsidRPr="00DE692F" w:rsidRDefault="003D62C2" w:rsidP="003D62C2">
            <w:pPr>
              <w:pStyle w:val="Prrafodelista"/>
              <w:numPr>
                <w:ilvl w:val="0"/>
                <w:numId w:val="27"/>
              </w:numPr>
              <w:rPr>
                <w:rFonts w:ascii="Arial" w:hAnsi="Arial" w:cs="Arial"/>
                <w:color w:val="000000" w:themeColor="text1"/>
                <w:sz w:val="20"/>
                <w:szCs w:val="20"/>
              </w:rPr>
            </w:pPr>
          </w:p>
        </w:tc>
        <w:tc>
          <w:tcPr>
            <w:tcW w:w="5103" w:type="dxa"/>
            <w:vMerge/>
            <w:vAlign w:val="center"/>
          </w:tcPr>
          <w:p w14:paraId="47E0A044" w14:textId="77777777" w:rsidR="003D62C2" w:rsidRPr="00DE692F" w:rsidRDefault="003D62C2" w:rsidP="003D62C2">
            <w:pPr>
              <w:rPr>
                <w:rFonts w:cs="Arial"/>
                <w:color w:val="000000" w:themeColor="text1"/>
                <w:sz w:val="20"/>
                <w:szCs w:val="20"/>
              </w:rPr>
            </w:pPr>
          </w:p>
        </w:tc>
        <w:tc>
          <w:tcPr>
            <w:tcW w:w="4808" w:type="dxa"/>
            <w:vAlign w:val="center"/>
          </w:tcPr>
          <w:p w14:paraId="0F712DEB" w14:textId="3D6AB8D9" w:rsidR="003D62C2" w:rsidRPr="00DE692F" w:rsidRDefault="003D62C2" w:rsidP="003D62C2">
            <w:pPr>
              <w:rPr>
                <w:rFonts w:cs="Arial"/>
                <w:color w:val="000000" w:themeColor="text1"/>
                <w:sz w:val="20"/>
                <w:szCs w:val="20"/>
              </w:rPr>
            </w:pPr>
            <w:r w:rsidRPr="00DE692F">
              <w:rPr>
                <w:rFonts w:cs="Arial"/>
                <w:color w:val="000000" w:themeColor="text1"/>
                <w:sz w:val="20"/>
                <w:szCs w:val="20"/>
              </w:rPr>
              <w:t>Informe del Taller de Restauración con Aproctur</w:t>
            </w:r>
          </w:p>
        </w:tc>
        <w:tc>
          <w:tcPr>
            <w:tcW w:w="4406" w:type="dxa"/>
            <w:vAlign w:val="center"/>
          </w:tcPr>
          <w:p w14:paraId="03FB425A" w14:textId="4247AAAC" w:rsidR="003D62C2" w:rsidRPr="00DE692F" w:rsidRDefault="003D62C2" w:rsidP="003D62C2">
            <w:pPr>
              <w:rPr>
                <w:rFonts w:cs="Arial"/>
                <w:color w:val="000000" w:themeColor="text1"/>
                <w:sz w:val="20"/>
                <w:szCs w:val="20"/>
              </w:rPr>
            </w:pPr>
            <w:hyperlink r:id="rId50" w:history="1">
              <w:r w:rsidRPr="00DE692F">
                <w:rPr>
                  <w:rStyle w:val="Hipervnculo"/>
                  <w:rFonts w:cs="Arial"/>
                  <w:sz w:val="20"/>
                  <w:szCs w:val="20"/>
                </w:rPr>
                <w:t>https://drive.google.com/open?id=16P_A2cLB6vDk6EXP7iIDcnhixeVYaDsf&amp;usp=drive_fs</w:t>
              </w:r>
            </w:hyperlink>
            <w:r w:rsidRPr="00DE692F">
              <w:rPr>
                <w:rFonts w:cs="Arial"/>
                <w:color w:val="000000" w:themeColor="text1"/>
                <w:sz w:val="20"/>
                <w:szCs w:val="20"/>
              </w:rPr>
              <w:t xml:space="preserve"> </w:t>
            </w:r>
          </w:p>
        </w:tc>
      </w:tr>
      <w:tr w:rsidR="000E5563" w:rsidRPr="00DE692F" w14:paraId="449AF559" w14:textId="77777777" w:rsidTr="00A30651">
        <w:trPr>
          <w:trHeight w:val="300"/>
        </w:trPr>
        <w:tc>
          <w:tcPr>
            <w:tcW w:w="551" w:type="dxa"/>
            <w:vAlign w:val="center"/>
          </w:tcPr>
          <w:p w14:paraId="359AC171" w14:textId="77777777" w:rsidR="000E5563" w:rsidRPr="00DE692F" w:rsidRDefault="000E5563" w:rsidP="003D62C2">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0CFBD2C9" w14:textId="5936CC3F" w:rsidR="000E5563" w:rsidRPr="00DE692F" w:rsidRDefault="000E5563" w:rsidP="003D62C2">
            <w:pPr>
              <w:rPr>
                <w:rFonts w:cs="Arial"/>
                <w:color w:val="000000" w:themeColor="text1"/>
                <w:sz w:val="20"/>
                <w:szCs w:val="20"/>
              </w:rPr>
            </w:pPr>
            <w:r w:rsidRPr="00DE692F">
              <w:rPr>
                <w:rFonts w:cs="Arial"/>
                <w:color w:val="000000" w:themeColor="text1"/>
                <w:sz w:val="20"/>
                <w:szCs w:val="20"/>
              </w:rPr>
              <w:t>Producto 3.1.3</w:t>
            </w:r>
          </w:p>
        </w:tc>
        <w:tc>
          <w:tcPr>
            <w:tcW w:w="4808" w:type="dxa"/>
            <w:vAlign w:val="center"/>
          </w:tcPr>
          <w:p w14:paraId="33D22E7B" w14:textId="66EB15B9" w:rsidR="000E5563" w:rsidRPr="00DE692F" w:rsidRDefault="000E5563" w:rsidP="003D62C2">
            <w:pPr>
              <w:rPr>
                <w:rFonts w:cs="Arial"/>
                <w:color w:val="000000" w:themeColor="text1"/>
                <w:sz w:val="20"/>
                <w:szCs w:val="20"/>
              </w:rPr>
            </w:pPr>
            <w:r w:rsidRPr="00DE692F">
              <w:rPr>
                <w:rFonts w:cs="Arial"/>
                <w:color w:val="000000" w:themeColor="text1"/>
                <w:sz w:val="20"/>
                <w:szCs w:val="20"/>
              </w:rPr>
              <w:t>Dos productos aprobados del Servicio de consultoría para la Identificación, gestión y promoción de Inversiones en Infraestructura Natural con Potencial Ampliación del Mecanismo de Obras por Impuestos (OxI)</w:t>
            </w:r>
          </w:p>
        </w:tc>
        <w:tc>
          <w:tcPr>
            <w:tcW w:w="4406" w:type="dxa"/>
            <w:vAlign w:val="center"/>
          </w:tcPr>
          <w:p w14:paraId="214DE6C6" w14:textId="0A0D660A" w:rsidR="000E5563" w:rsidRPr="00DE692F" w:rsidRDefault="000E5563" w:rsidP="003D62C2">
            <w:pPr>
              <w:rPr>
                <w:rFonts w:cs="Arial"/>
                <w:color w:val="000000" w:themeColor="text1"/>
                <w:sz w:val="20"/>
                <w:szCs w:val="20"/>
              </w:rPr>
            </w:pPr>
            <w:hyperlink r:id="rId51" w:history="1">
              <w:r w:rsidRPr="00DE692F">
                <w:rPr>
                  <w:rStyle w:val="Hipervnculo"/>
                  <w:rFonts w:cs="Arial"/>
                  <w:sz w:val="20"/>
                  <w:szCs w:val="20"/>
                </w:rPr>
                <w:t>https://drive.google.com/open?id=1pNUgPxBp4Hhl0pW4PGx8vKYYbamHmqh6&amp;usp=drive_fs</w:t>
              </w:r>
            </w:hyperlink>
            <w:r w:rsidRPr="00DE692F">
              <w:rPr>
                <w:rFonts w:cs="Arial"/>
                <w:color w:val="000000" w:themeColor="text1"/>
                <w:sz w:val="20"/>
                <w:szCs w:val="20"/>
              </w:rPr>
              <w:t xml:space="preserve"> </w:t>
            </w:r>
          </w:p>
        </w:tc>
      </w:tr>
      <w:tr w:rsidR="000E5563" w:rsidRPr="00DE692F" w14:paraId="7C11A3AE" w14:textId="77777777" w:rsidTr="00A30651">
        <w:trPr>
          <w:trHeight w:val="300"/>
        </w:trPr>
        <w:tc>
          <w:tcPr>
            <w:tcW w:w="551" w:type="dxa"/>
            <w:vAlign w:val="center"/>
          </w:tcPr>
          <w:p w14:paraId="2AF59967" w14:textId="77777777" w:rsidR="000E5563" w:rsidRPr="00DE692F" w:rsidRDefault="000E5563" w:rsidP="003D62C2">
            <w:pPr>
              <w:pStyle w:val="Prrafodelista"/>
              <w:numPr>
                <w:ilvl w:val="0"/>
                <w:numId w:val="27"/>
              </w:numPr>
              <w:rPr>
                <w:rFonts w:ascii="Arial" w:hAnsi="Arial" w:cs="Arial"/>
                <w:color w:val="000000" w:themeColor="text1"/>
                <w:sz w:val="20"/>
                <w:szCs w:val="20"/>
              </w:rPr>
            </w:pPr>
          </w:p>
        </w:tc>
        <w:tc>
          <w:tcPr>
            <w:tcW w:w="5103" w:type="dxa"/>
            <w:vMerge/>
            <w:vAlign w:val="center"/>
          </w:tcPr>
          <w:p w14:paraId="2B0AD8A4" w14:textId="2055DE6C" w:rsidR="000E5563" w:rsidRPr="00DE692F" w:rsidRDefault="000E5563" w:rsidP="003D62C2">
            <w:pPr>
              <w:rPr>
                <w:rFonts w:cs="Arial"/>
                <w:color w:val="000000" w:themeColor="text1"/>
                <w:sz w:val="20"/>
                <w:szCs w:val="20"/>
              </w:rPr>
            </w:pPr>
          </w:p>
        </w:tc>
        <w:tc>
          <w:tcPr>
            <w:tcW w:w="4808" w:type="dxa"/>
            <w:vAlign w:val="center"/>
          </w:tcPr>
          <w:p w14:paraId="698E3E95"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Reporte del Taller Macro Regional para la programación de PP144 (DGDB)</w:t>
            </w:r>
          </w:p>
          <w:p w14:paraId="1103D145" w14:textId="77777777" w:rsidR="00207E21" w:rsidRPr="00207E21" w:rsidRDefault="00207E21" w:rsidP="00207E21">
            <w:pPr>
              <w:rPr>
                <w:rFonts w:cs="Arial"/>
                <w:color w:val="000000" w:themeColor="text1"/>
                <w:sz w:val="20"/>
                <w:szCs w:val="20"/>
              </w:rPr>
            </w:pPr>
          </w:p>
          <w:p w14:paraId="5A7FF033" w14:textId="77777777" w:rsidR="00207E21" w:rsidRPr="00207E21" w:rsidRDefault="00207E21" w:rsidP="00207E21">
            <w:pPr>
              <w:rPr>
                <w:rFonts w:cs="Arial"/>
                <w:color w:val="000000" w:themeColor="text1"/>
                <w:sz w:val="20"/>
                <w:szCs w:val="20"/>
              </w:rPr>
            </w:pPr>
            <w:r w:rsidRPr="00207E21">
              <w:rPr>
                <w:rFonts w:cs="Arial"/>
                <w:color w:val="000000" w:themeColor="text1"/>
                <w:sz w:val="20"/>
                <w:szCs w:val="20"/>
              </w:rPr>
              <w:t>Informe de Viaje funcionarios MINAM - GORE San Martín</w:t>
            </w:r>
          </w:p>
          <w:p w14:paraId="792EADD7" w14:textId="77777777" w:rsidR="00207E21" w:rsidRPr="00207E21" w:rsidRDefault="00207E21" w:rsidP="00207E21">
            <w:pPr>
              <w:rPr>
                <w:rFonts w:cs="Arial"/>
                <w:color w:val="000000" w:themeColor="text1"/>
                <w:sz w:val="20"/>
                <w:szCs w:val="20"/>
              </w:rPr>
            </w:pPr>
          </w:p>
          <w:p w14:paraId="5A25C559" w14:textId="0ECFFEBB" w:rsidR="000E5563" w:rsidRPr="00DE692F" w:rsidRDefault="00207E21" w:rsidP="00207E21">
            <w:pPr>
              <w:rPr>
                <w:rFonts w:cs="Arial"/>
                <w:color w:val="000000" w:themeColor="text1"/>
                <w:sz w:val="20"/>
                <w:szCs w:val="20"/>
              </w:rPr>
            </w:pPr>
            <w:r w:rsidRPr="00207E21">
              <w:rPr>
                <w:rFonts w:cs="Arial"/>
                <w:color w:val="000000" w:themeColor="text1"/>
                <w:sz w:val="20"/>
                <w:szCs w:val="20"/>
              </w:rPr>
              <w:t>Informe de Viaje funcionarios MINAM - GORE Amazonas</w:t>
            </w:r>
          </w:p>
        </w:tc>
        <w:tc>
          <w:tcPr>
            <w:tcW w:w="4406" w:type="dxa"/>
            <w:vAlign w:val="center"/>
          </w:tcPr>
          <w:p w14:paraId="7610C2E4" w14:textId="3E5C68C6" w:rsidR="000E5563" w:rsidRPr="00DE692F" w:rsidRDefault="000E5563" w:rsidP="003D62C2">
            <w:pPr>
              <w:rPr>
                <w:rFonts w:cs="Arial"/>
                <w:color w:val="000000" w:themeColor="text1"/>
                <w:sz w:val="20"/>
                <w:szCs w:val="20"/>
              </w:rPr>
            </w:pPr>
            <w:hyperlink r:id="rId52" w:history="1">
              <w:r w:rsidRPr="00DE692F">
                <w:rPr>
                  <w:rStyle w:val="Hipervnculo"/>
                  <w:rFonts w:cs="Arial"/>
                  <w:sz w:val="20"/>
                  <w:szCs w:val="20"/>
                </w:rPr>
                <w:t>https://drive.google.com/open?id=1yD4Vxu-cSPAgBy4t98tIA12_HNt-Dwrz&amp;usp=drive_fs</w:t>
              </w:r>
            </w:hyperlink>
            <w:r w:rsidRPr="00DE692F">
              <w:rPr>
                <w:rFonts w:cs="Arial"/>
                <w:color w:val="000000" w:themeColor="text1"/>
                <w:sz w:val="20"/>
                <w:szCs w:val="20"/>
              </w:rPr>
              <w:t xml:space="preserve"> </w:t>
            </w:r>
          </w:p>
        </w:tc>
      </w:tr>
      <w:tr w:rsidR="000E5563" w:rsidRPr="00DE692F" w14:paraId="2EE30348" w14:textId="77777777" w:rsidTr="00A30651">
        <w:trPr>
          <w:trHeight w:val="300"/>
        </w:trPr>
        <w:tc>
          <w:tcPr>
            <w:tcW w:w="551" w:type="dxa"/>
            <w:vAlign w:val="center"/>
          </w:tcPr>
          <w:p w14:paraId="645C3D85" w14:textId="77777777" w:rsidR="000E5563" w:rsidRPr="00DE692F" w:rsidRDefault="000E5563" w:rsidP="000E5563">
            <w:pPr>
              <w:pStyle w:val="Prrafodelista"/>
              <w:numPr>
                <w:ilvl w:val="0"/>
                <w:numId w:val="27"/>
              </w:numPr>
              <w:rPr>
                <w:rFonts w:ascii="Arial" w:hAnsi="Arial" w:cs="Arial"/>
                <w:color w:val="000000" w:themeColor="text1"/>
                <w:sz w:val="20"/>
                <w:szCs w:val="20"/>
              </w:rPr>
            </w:pPr>
          </w:p>
        </w:tc>
        <w:tc>
          <w:tcPr>
            <w:tcW w:w="5103" w:type="dxa"/>
            <w:vAlign w:val="center"/>
          </w:tcPr>
          <w:p w14:paraId="41B10982" w14:textId="5199790C" w:rsidR="000E5563" w:rsidRPr="00DE692F" w:rsidRDefault="000E5563" w:rsidP="000E5563">
            <w:pPr>
              <w:rPr>
                <w:rFonts w:cs="Arial"/>
                <w:color w:val="000000" w:themeColor="text1"/>
                <w:sz w:val="20"/>
                <w:szCs w:val="20"/>
              </w:rPr>
            </w:pPr>
            <w:r w:rsidRPr="00DE692F">
              <w:rPr>
                <w:rFonts w:cs="Arial"/>
                <w:color w:val="000000" w:themeColor="text1"/>
                <w:sz w:val="20"/>
                <w:szCs w:val="20"/>
              </w:rPr>
              <w:t>Producto 3.1.4</w:t>
            </w:r>
          </w:p>
        </w:tc>
        <w:tc>
          <w:tcPr>
            <w:tcW w:w="4808" w:type="dxa"/>
            <w:vAlign w:val="center"/>
          </w:tcPr>
          <w:p w14:paraId="5807357A" w14:textId="77777777" w:rsidR="000E5563" w:rsidRPr="00DE692F" w:rsidRDefault="000E5563" w:rsidP="000E5563">
            <w:pPr>
              <w:rPr>
                <w:rFonts w:cs="Arial"/>
                <w:color w:val="000000" w:themeColor="text1"/>
                <w:sz w:val="20"/>
                <w:szCs w:val="20"/>
              </w:rPr>
            </w:pPr>
            <w:r w:rsidRPr="00DE692F">
              <w:rPr>
                <w:rFonts w:cs="Arial"/>
                <w:color w:val="000000" w:themeColor="text1"/>
                <w:sz w:val="20"/>
                <w:szCs w:val="20"/>
              </w:rPr>
              <w:t xml:space="preserve">Informe del taller de fortalecimiento de capacidades de CCNN en setiembre (Comités de Control y Vigilancia) </w:t>
            </w:r>
          </w:p>
          <w:p w14:paraId="279B8088" w14:textId="77777777" w:rsidR="000E5563" w:rsidRPr="00DE692F" w:rsidRDefault="000E5563" w:rsidP="000E5563">
            <w:pPr>
              <w:rPr>
                <w:rFonts w:cs="Arial"/>
                <w:color w:val="000000" w:themeColor="text1"/>
                <w:sz w:val="20"/>
                <w:szCs w:val="20"/>
              </w:rPr>
            </w:pPr>
          </w:p>
          <w:p w14:paraId="3FC6932C" w14:textId="139EBAE0" w:rsidR="000E5563" w:rsidRPr="00DE692F" w:rsidRDefault="000E5563" w:rsidP="000E5563">
            <w:pPr>
              <w:rPr>
                <w:rFonts w:cs="Arial"/>
                <w:color w:val="000000" w:themeColor="text1"/>
                <w:sz w:val="20"/>
                <w:szCs w:val="20"/>
              </w:rPr>
            </w:pPr>
            <w:r w:rsidRPr="00DE692F">
              <w:rPr>
                <w:rFonts w:cs="Arial"/>
                <w:color w:val="000000" w:themeColor="text1"/>
                <w:sz w:val="20"/>
                <w:szCs w:val="20"/>
              </w:rPr>
              <w:t xml:space="preserve">Informe del taller Mecanismos de Compensación de Multas por conservación y restauración) </w:t>
            </w:r>
            <w:r w:rsidRPr="00DE692F">
              <w:rPr>
                <w:rFonts w:cs="Arial"/>
                <w:color w:val="000000" w:themeColor="text1"/>
                <w:sz w:val="20"/>
                <w:szCs w:val="20"/>
              </w:rPr>
              <w:lastRenderedPageBreak/>
              <w:t>respectivamente en Alto Amazonas - Loreto en octubre</w:t>
            </w:r>
          </w:p>
        </w:tc>
        <w:tc>
          <w:tcPr>
            <w:tcW w:w="4406" w:type="dxa"/>
            <w:vAlign w:val="center"/>
          </w:tcPr>
          <w:p w14:paraId="4008DBBF" w14:textId="28ACA92E" w:rsidR="000E5563" w:rsidRPr="00DE692F" w:rsidRDefault="000E5563" w:rsidP="000E5563">
            <w:pPr>
              <w:rPr>
                <w:rFonts w:cs="Arial"/>
                <w:color w:val="000000" w:themeColor="text1"/>
                <w:sz w:val="20"/>
                <w:szCs w:val="20"/>
              </w:rPr>
            </w:pPr>
            <w:hyperlink r:id="rId53" w:history="1">
              <w:r w:rsidRPr="00DE692F">
                <w:rPr>
                  <w:rStyle w:val="Hipervnculo"/>
                  <w:rFonts w:cs="Arial"/>
                  <w:sz w:val="20"/>
                  <w:szCs w:val="20"/>
                </w:rPr>
                <w:t>https://drive.google.com/open?id=1XZTR_9Ojk99HxXlVoBtRr3QM8t3lu0yA&amp;usp=drive_fs</w:t>
              </w:r>
            </w:hyperlink>
            <w:r w:rsidRPr="00DE692F">
              <w:rPr>
                <w:rFonts w:cs="Arial"/>
                <w:color w:val="000000" w:themeColor="text1"/>
                <w:sz w:val="20"/>
                <w:szCs w:val="20"/>
              </w:rPr>
              <w:t xml:space="preserve"> </w:t>
            </w:r>
          </w:p>
        </w:tc>
      </w:tr>
      <w:tr w:rsidR="000E5563" w:rsidRPr="00DE692F" w14:paraId="26A3EAE0" w14:textId="77777777" w:rsidTr="00A30651">
        <w:trPr>
          <w:trHeight w:val="300"/>
        </w:trPr>
        <w:tc>
          <w:tcPr>
            <w:tcW w:w="551" w:type="dxa"/>
            <w:vAlign w:val="center"/>
          </w:tcPr>
          <w:p w14:paraId="5601B347" w14:textId="77777777" w:rsidR="000E5563" w:rsidRPr="00DE692F" w:rsidRDefault="000E5563" w:rsidP="000E5563">
            <w:pPr>
              <w:pStyle w:val="Prrafodelista"/>
              <w:numPr>
                <w:ilvl w:val="0"/>
                <w:numId w:val="27"/>
              </w:numPr>
              <w:rPr>
                <w:rFonts w:ascii="Arial" w:hAnsi="Arial" w:cs="Arial"/>
                <w:color w:val="000000" w:themeColor="text1"/>
                <w:sz w:val="20"/>
                <w:szCs w:val="20"/>
              </w:rPr>
            </w:pPr>
          </w:p>
        </w:tc>
        <w:tc>
          <w:tcPr>
            <w:tcW w:w="5103" w:type="dxa"/>
            <w:vAlign w:val="center"/>
          </w:tcPr>
          <w:p w14:paraId="1A4787A2" w14:textId="7D87EDC7" w:rsidR="000E5563" w:rsidRPr="00DE692F" w:rsidRDefault="000E5563" w:rsidP="000E5563">
            <w:pPr>
              <w:rPr>
                <w:rFonts w:cs="Arial"/>
                <w:color w:val="000000" w:themeColor="text1"/>
                <w:sz w:val="20"/>
                <w:szCs w:val="20"/>
              </w:rPr>
            </w:pPr>
            <w:r w:rsidRPr="00DE692F">
              <w:rPr>
                <w:rFonts w:cs="Arial"/>
                <w:color w:val="000000" w:themeColor="text1"/>
                <w:sz w:val="20"/>
                <w:szCs w:val="20"/>
              </w:rPr>
              <w:t>Producto 3.1.5</w:t>
            </w:r>
          </w:p>
        </w:tc>
        <w:tc>
          <w:tcPr>
            <w:tcW w:w="4808" w:type="dxa"/>
            <w:vAlign w:val="center"/>
          </w:tcPr>
          <w:p w14:paraId="7633DB8B" w14:textId="77777777" w:rsidR="000E5563" w:rsidRPr="00DE692F" w:rsidRDefault="000E5563" w:rsidP="000E5563">
            <w:pPr>
              <w:rPr>
                <w:rFonts w:cs="Arial"/>
                <w:color w:val="000000" w:themeColor="text1"/>
                <w:sz w:val="20"/>
                <w:szCs w:val="20"/>
              </w:rPr>
            </w:pPr>
            <w:r w:rsidRPr="00DE692F">
              <w:rPr>
                <w:rFonts w:cs="Arial"/>
                <w:color w:val="000000" w:themeColor="text1"/>
                <w:sz w:val="20"/>
                <w:szCs w:val="20"/>
              </w:rPr>
              <w:t xml:space="preserve">Productos de la consultoría del diseño del marco funcional y operativo del programa REVERDECE que viene desarrollando el MINAM. </w:t>
            </w:r>
          </w:p>
          <w:p w14:paraId="3E7A5610" w14:textId="77777777" w:rsidR="000E5563" w:rsidRPr="00DE692F" w:rsidRDefault="000E5563" w:rsidP="000E5563">
            <w:pPr>
              <w:rPr>
                <w:rFonts w:cs="Arial"/>
                <w:color w:val="000000" w:themeColor="text1"/>
                <w:sz w:val="20"/>
                <w:szCs w:val="20"/>
              </w:rPr>
            </w:pPr>
          </w:p>
          <w:p w14:paraId="7644734F" w14:textId="77777777" w:rsidR="000E5563" w:rsidRPr="00DE692F" w:rsidRDefault="000E5563" w:rsidP="000E5563">
            <w:pPr>
              <w:rPr>
                <w:rFonts w:cs="Arial"/>
                <w:color w:val="000000" w:themeColor="text1"/>
                <w:sz w:val="20"/>
                <w:szCs w:val="20"/>
              </w:rPr>
            </w:pPr>
            <w:r w:rsidRPr="00DE692F">
              <w:rPr>
                <w:rFonts w:cs="Arial"/>
                <w:color w:val="000000" w:themeColor="text1"/>
                <w:sz w:val="20"/>
                <w:szCs w:val="20"/>
              </w:rPr>
              <w:t xml:space="preserve">Productos de la consultoría asesoría legal a la propuesta normativa de créditos de biodiversidad que viene desarrollando el MINAM. </w:t>
            </w:r>
          </w:p>
          <w:p w14:paraId="3B089330" w14:textId="77777777" w:rsidR="000E5563" w:rsidRPr="00DE692F" w:rsidRDefault="000E5563" w:rsidP="000E5563">
            <w:pPr>
              <w:rPr>
                <w:rFonts w:cs="Arial"/>
                <w:color w:val="000000" w:themeColor="text1"/>
                <w:sz w:val="20"/>
                <w:szCs w:val="20"/>
              </w:rPr>
            </w:pPr>
          </w:p>
          <w:p w14:paraId="452B075A" w14:textId="53036B15" w:rsidR="000E5563" w:rsidRPr="00DE692F" w:rsidRDefault="000E5563" w:rsidP="000E5563">
            <w:pPr>
              <w:rPr>
                <w:rFonts w:cs="Arial"/>
                <w:color w:val="000000" w:themeColor="text1"/>
                <w:sz w:val="20"/>
                <w:szCs w:val="20"/>
              </w:rPr>
            </w:pPr>
            <w:r w:rsidRPr="00DE692F">
              <w:rPr>
                <w:rFonts w:cs="Arial"/>
                <w:color w:val="000000" w:themeColor="text1"/>
                <w:sz w:val="20"/>
                <w:szCs w:val="20"/>
              </w:rPr>
              <w:t>Informe de especialista MERESE sobre apoyo de AT al GORE Amazonas.</w:t>
            </w:r>
          </w:p>
        </w:tc>
        <w:tc>
          <w:tcPr>
            <w:tcW w:w="4406" w:type="dxa"/>
            <w:vAlign w:val="center"/>
          </w:tcPr>
          <w:p w14:paraId="1EC5D5B3" w14:textId="2AFF1667" w:rsidR="000E5563" w:rsidRPr="00DE692F" w:rsidRDefault="000E5563" w:rsidP="000E5563">
            <w:pPr>
              <w:rPr>
                <w:rFonts w:cs="Arial"/>
                <w:color w:val="000000" w:themeColor="text1"/>
                <w:sz w:val="20"/>
                <w:szCs w:val="20"/>
              </w:rPr>
            </w:pPr>
            <w:hyperlink r:id="rId54" w:history="1">
              <w:r w:rsidRPr="00DE692F">
                <w:rPr>
                  <w:rStyle w:val="Hipervnculo"/>
                  <w:rFonts w:cs="Arial"/>
                  <w:sz w:val="20"/>
                  <w:szCs w:val="20"/>
                </w:rPr>
                <w:t>https://drive.google.com/open?id=1pJi9Yd3F4EarC1l7TDUNdR82WVtZeVGl&amp;usp=drive_fs</w:t>
              </w:r>
            </w:hyperlink>
            <w:r w:rsidRPr="00DE692F">
              <w:rPr>
                <w:rFonts w:cs="Arial"/>
                <w:color w:val="000000" w:themeColor="text1"/>
                <w:sz w:val="20"/>
                <w:szCs w:val="20"/>
              </w:rPr>
              <w:t xml:space="preserve"> </w:t>
            </w:r>
          </w:p>
        </w:tc>
      </w:tr>
      <w:tr w:rsidR="000E5563" w:rsidRPr="00DE692F" w14:paraId="365F75A9" w14:textId="77777777" w:rsidTr="000561F6">
        <w:trPr>
          <w:trHeight w:val="300"/>
        </w:trPr>
        <w:tc>
          <w:tcPr>
            <w:tcW w:w="14868" w:type="dxa"/>
            <w:gridSpan w:val="4"/>
            <w:vAlign w:val="center"/>
          </w:tcPr>
          <w:p w14:paraId="0151B37D" w14:textId="31151B64" w:rsidR="000E5563" w:rsidRPr="00DE692F" w:rsidRDefault="000E5563" w:rsidP="000E5563">
            <w:pPr>
              <w:rPr>
                <w:rFonts w:cs="Arial"/>
                <w:color w:val="000000" w:themeColor="text1"/>
                <w:sz w:val="20"/>
                <w:szCs w:val="20"/>
              </w:rPr>
            </w:pPr>
            <w:r w:rsidRPr="00DE692F">
              <w:rPr>
                <w:b/>
                <w:bCs/>
                <w:color w:val="000000"/>
                <w:sz w:val="20"/>
                <w:szCs w:val="20"/>
              </w:rPr>
              <w:t>Resultado 6</w:t>
            </w:r>
          </w:p>
        </w:tc>
      </w:tr>
      <w:tr w:rsidR="000E5563" w:rsidRPr="00DE692F" w14:paraId="45D541A5" w14:textId="77777777" w:rsidTr="00A30651">
        <w:trPr>
          <w:trHeight w:val="300"/>
        </w:trPr>
        <w:tc>
          <w:tcPr>
            <w:tcW w:w="551" w:type="dxa"/>
            <w:vAlign w:val="center"/>
          </w:tcPr>
          <w:p w14:paraId="7CCD9D01" w14:textId="77777777" w:rsidR="000E5563" w:rsidRPr="00DE692F" w:rsidRDefault="000E5563" w:rsidP="000E5563">
            <w:pPr>
              <w:pStyle w:val="Prrafodelista"/>
              <w:numPr>
                <w:ilvl w:val="0"/>
                <w:numId w:val="27"/>
              </w:numPr>
              <w:rPr>
                <w:rFonts w:ascii="Arial" w:hAnsi="Arial" w:cs="Arial"/>
                <w:color w:val="000000" w:themeColor="text1"/>
                <w:sz w:val="20"/>
                <w:szCs w:val="20"/>
              </w:rPr>
            </w:pPr>
          </w:p>
        </w:tc>
        <w:tc>
          <w:tcPr>
            <w:tcW w:w="5103" w:type="dxa"/>
            <w:vAlign w:val="center"/>
          </w:tcPr>
          <w:p w14:paraId="770D261F" w14:textId="7381EB69" w:rsidR="000E5563" w:rsidRPr="00DE692F" w:rsidRDefault="000E5563" w:rsidP="000E5563">
            <w:pPr>
              <w:rPr>
                <w:rFonts w:cs="Arial"/>
                <w:color w:val="000000" w:themeColor="text1"/>
                <w:sz w:val="20"/>
                <w:szCs w:val="20"/>
              </w:rPr>
            </w:pPr>
            <w:r w:rsidRPr="00DE692F">
              <w:rPr>
                <w:rFonts w:cs="Arial"/>
                <w:color w:val="000000" w:themeColor="text1"/>
                <w:sz w:val="20"/>
                <w:szCs w:val="20"/>
              </w:rPr>
              <w:t>Producto 3.2.2</w:t>
            </w:r>
          </w:p>
        </w:tc>
        <w:tc>
          <w:tcPr>
            <w:tcW w:w="4808" w:type="dxa"/>
            <w:vAlign w:val="center"/>
          </w:tcPr>
          <w:p w14:paraId="6FCF5903" w14:textId="77777777" w:rsidR="000E5563" w:rsidRPr="00DE692F" w:rsidRDefault="000E5563" w:rsidP="000E5563">
            <w:pPr>
              <w:rPr>
                <w:rFonts w:cs="Arial"/>
                <w:color w:val="000000" w:themeColor="text1"/>
                <w:sz w:val="20"/>
                <w:szCs w:val="20"/>
              </w:rPr>
            </w:pPr>
            <w:r w:rsidRPr="00DE692F">
              <w:rPr>
                <w:rFonts w:cs="Arial"/>
                <w:color w:val="000000" w:themeColor="text1"/>
                <w:sz w:val="20"/>
                <w:szCs w:val="20"/>
              </w:rPr>
              <w:t>Términos de referencia del Servicio especializado para la implementación de Pilotos aplicando propuesta de “Procedimiento metodológico para el monitoreo y evaluación de la recuperación de ecosistemas, aplicable a proyectos que cuentan con acciones de recuperación”</w:t>
            </w:r>
          </w:p>
          <w:p w14:paraId="0096AD2C" w14:textId="77777777" w:rsidR="000E5563" w:rsidRPr="00DE692F" w:rsidRDefault="000E5563" w:rsidP="000E5563">
            <w:pPr>
              <w:rPr>
                <w:rFonts w:cs="Arial"/>
                <w:color w:val="000000" w:themeColor="text1"/>
                <w:sz w:val="20"/>
                <w:szCs w:val="20"/>
              </w:rPr>
            </w:pPr>
          </w:p>
          <w:p w14:paraId="4E7C6FB8" w14:textId="2F7E25CF" w:rsidR="000E5563" w:rsidRPr="00DE692F" w:rsidRDefault="000E5563" w:rsidP="000E5563">
            <w:pPr>
              <w:rPr>
                <w:rFonts w:cs="Arial"/>
                <w:color w:val="000000" w:themeColor="text1"/>
                <w:sz w:val="20"/>
                <w:szCs w:val="20"/>
              </w:rPr>
            </w:pPr>
            <w:r w:rsidRPr="00DE692F">
              <w:rPr>
                <w:rFonts w:cs="Arial"/>
                <w:color w:val="000000" w:themeColor="text1"/>
                <w:sz w:val="20"/>
                <w:szCs w:val="20"/>
              </w:rPr>
              <w:t>Términos de referencia del Servicio para la elaboración de la Guía de evaluación del estado de los ecosistemas de Bosque Altimontano de yunga y Bosque de colina alta</w:t>
            </w:r>
          </w:p>
        </w:tc>
        <w:tc>
          <w:tcPr>
            <w:tcW w:w="4406" w:type="dxa"/>
            <w:vAlign w:val="center"/>
          </w:tcPr>
          <w:p w14:paraId="16D6B472" w14:textId="77845872" w:rsidR="000E5563" w:rsidRPr="00DE692F" w:rsidRDefault="000E5563" w:rsidP="000E5563">
            <w:pPr>
              <w:rPr>
                <w:rFonts w:cs="Arial"/>
                <w:color w:val="000000" w:themeColor="text1"/>
                <w:sz w:val="20"/>
                <w:szCs w:val="20"/>
              </w:rPr>
            </w:pPr>
            <w:hyperlink r:id="rId55" w:history="1">
              <w:r w:rsidRPr="00DE692F">
                <w:rPr>
                  <w:rStyle w:val="Hipervnculo"/>
                  <w:rFonts w:cs="Arial"/>
                  <w:sz w:val="20"/>
                  <w:szCs w:val="20"/>
                </w:rPr>
                <w:t>https://drive.google.com/open?id=1dl_aK098IxVn5VOQFLy274UID1FeIov7&amp;usp=drive_fs</w:t>
              </w:r>
            </w:hyperlink>
            <w:r w:rsidRPr="00DE692F">
              <w:rPr>
                <w:rFonts w:cs="Arial"/>
                <w:color w:val="000000" w:themeColor="text1"/>
                <w:sz w:val="20"/>
                <w:szCs w:val="20"/>
              </w:rPr>
              <w:t xml:space="preserve"> </w:t>
            </w:r>
          </w:p>
        </w:tc>
      </w:tr>
      <w:tr w:rsidR="000E5563" w:rsidRPr="00DE692F" w14:paraId="154F2D4E" w14:textId="77777777" w:rsidTr="007F4507">
        <w:trPr>
          <w:trHeight w:val="300"/>
        </w:trPr>
        <w:tc>
          <w:tcPr>
            <w:tcW w:w="14868" w:type="dxa"/>
            <w:gridSpan w:val="4"/>
            <w:vAlign w:val="center"/>
          </w:tcPr>
          <w:p w14:paraId="0A4507F6" w14:textId="6C894E27" w:rsidR="000E5563" w:rsidRPr="00DE692F" w:rsidRDefault="000E5563" w:rsidP="000E5563">
            <w:pPr>
              <w:rPr>
                <w:rFonts w:cs="Arial"/>
                <w:color w:val="000000" w:themeColor="text1"/>
                <w:sz w:val="20"/>
                <w:szCs w:val="20"/>
              </w:rPr>
            </w:pPr>
            <w:r w:rsidRPr="00DE692F">
              <w:rPr>
                <w:b/>
                <w:bCs/>
                <w:color w:val="000000"/>
                <w:sz w:val="20"/>
                <w:szCs w:val="20"/>
              </w:rPr>
              <w:t>COMPONENTE 4</w:t>
            </w:r>
          </w:p>
        </w:tc>
      </w:tr>
      <w:tr w:rsidR="000E5563" w:rsidRPr="00DE692F" w14:paraId="5D9C47EA" w14:textId="77777777" w:rsidTr="00E332C1">
        <w:trPr>
          <w:trHeight w:val="300"/>
        </w:trPr>
        <w:tc>
          <w:tcPr>
            <w:tcW w:w="14868" w:type="dxa"/>
            <w:gridSpan w:val="4"/>
            <w:vAlign w:val="center"/>
          </w:tcPr>
          <w:p w14:paraId="16EEAE2A" w14:textId="64EB2754" w:rsidR="000E5563" w:rsidRPr="00DE692F" w:rsidRDefault="000E5563" w:rsidP="000E5563">
            <w:pPr>
              <w:rPr>
                <w:rFonts w:cs="Arial"/>
                <w:color w:val="000000" w:themeColor="text1"/>
                <w:sz w:val="20"/>
                <w:szCs w:val="20"/>
              </w:rPr>
            </w:pPr>
            <w:r w:rsidRPr="00DE692F">
              <w:rPr>
                <w:b/>
                <w:bCs/>
                <w:color w:val="000000"/>
                <w:sz w:val="20"/>
                <w:szCs w:val="20"/>
              </w:rPr>
              <w:t>Resultado 7</w:t>
            </w:r>
          </w:p>
        </w:tc>
      </w:tr>
      <w:tr w:rsidR="00550458" w:rsidRPr="00DE692F" w14:paraId="56481C29" w14:textId="77777777" w:rsidTr="00A30651">
        <w:trPr>
          <w:trHeight w:val="300"/>
        </w:trPr>
        <w:tc>
          <w:tcPr>
            <w:tcW w:w="551" w:type="dxa"/>
            <w:vAlign w:val="center"/>
          </w:tcPr>
          <w:p w14:paraId="13C8E853" w14:textId="77777777" w:rsidR="00550458" w:rsidRPr="00DE692F" w:rsidRDefault="00550458" w:rsidP="000E5563">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1D8576DF" w14:textId="5DA46A3D" w:rsidR="00550458" w:rsidRPr="00DE692F" w:rsidRDefault="00550458" w:rsidP="000E5563">
            <w:pPr>
              <w:rPr>
                <w:rFonts w:cs="Arial"/>
                <w:color w:val="000000" w:themeColor="text1"/>
                <w:sz w:val="20"/>
                <w:szCs w:val="20"/>
              </w:rPr>
            </w:pPr>
            <w:r w:rsidRPr="00DE692F">
              <w:rPr>
                <w:rFonts w:cs="Arial"/>
                <w:color w:val="000000" w:themeColor="text1"/>
                <w:sz w:val="20"/>
                <w:szCs w:val="20"/>
              </w:rPr>
              <w:t>Producto 4.1.1</w:t>
            </w:r>
          </w:p>
        </w:tc>
        <w:tc>
          <w:tcPr>
            <w:tcW w:w="4808" w:type="dxa"/>
            <w:vAlign w:val="center"/>
          </w:tcPr>
          <w:p w14:paraId="52176BF5" w14:textId="77777777" w:rsidR="00550458" w:rsidRPr="00DE692F" w:rsidRDefault="00550458" w:rsidP="00550458">
            <w:pPr>
              <w:rPr>
                <w:rFonts w:cs="Arial"/>
                <w:color w:val="000000" w:themeColor="text1"/>
                <w:sz w:val="20"/>
                <w:szCs w:val="20"/>
              </w:rPr>
            </w:pPr>
            <w:r w:rsidRPr="00DE692F">
              <w:rPr>
                <w:rFonts w:cs="Arial"/>
                <w:color w:val="000000" w:themeColor="text1"/>
                <w:sz w:val="20"/>
                <w:szCs w:val="20"/>
              </w:rPr>
              <w:t>Estrategia de gestión de conocimiento</w:t>
            </w:r>
          </w:p>
          <w:p w14:paraId="67957370" w14:textId="77777777" w:rsidR="00550458" w:rsidRPr="00DE692F" w:rsidRDefault="00550458" w:rsidP="00550458">
            <w:pPr>
              <w:rPr>
                <w:rFonts w:cs="Arial"/>
                <w:color w:val="000000" w:themeColor="text1"/>
                <w:sz w:val="20"/>
                <w:szCs w:val="20"/>
              </w:rPr>
            </w:pPr>
          </w:p>
          <w:p w14:paraId="242DFDC3" w14:textId="6B7A7CEE" w:rsidR="00550458" w:rsidRPr="00DE692F" w:rsidRDefault="00550458" w:rsidP="00550458">
            <w:pPr>
              <w:rPr>
                <w:rFonts w:cs="Arial"/>
                <w:color w:val="000000" w:themeColor="text1"/>
                <w:sz w:val="20"/>
                <w:szCs w:val="20"/>
              </w:rPr>
            </w:pPr>
            <w:r w:rsidRPr="00DE692F">
              <w:rPr>
                <w:rFonts w:cs="Arial"/>
                <w:color w:val="000000" w:themeColor="text1"/>
                <w:sz w:val="20"/>
                <w:szCs w:val="20"/>
              </w:rPr>
              <w:t>Estrategia de comunicación</w:t>
            </w:r>
          </w:p>
        </w:tc>
        <w:tc>
          <w:tcPr>
            <w:tcW w:w="4406" w:type="dxa"/>
            <w:vAlign w:val="center"/>
          </w:tcPr>
          <w:p w14:paraId="136CF6E3" w14:textId="75C242C9" w:rsidR="00550458" w:rsidRPr="00DE692F" w:rsidRDefault="00550458" w:rsidP="000E5563">
            <w:pPr>
              <w:rPr>
                <w:rFonts w:cs="Arial"/>
                <w:color w:val="000000" w:themeColor="text1"/>
                <w:sz w:val="20"/>
                <w:szCs w:val="20"/>
              </w:rPr>
            </w:pPr>
            <w:hyperlink r:id="rId56" w:history="1">
              <w:r w:rsidRPr="00DE692F">
                <w:rPr>
                  <w:rStyle w:val="Hipervnculo"/>
                  <w:rFonts w:cs="Arial"/>
                  <w:sz w:val="20"/>
                  <w:szCs w:val="20"/>
                </w:rPr>
                <w:t>https://drive.google.com/drive/folders/1iaRlCgB-kH7Y2nCNkR5LuvTeB8gLOT-h?usp=sharing</w:t>
              </w:r>
            </w:hyperlink>
            <w:r w:rsidRPr="00DE692F">
              <w:rPr>
                <w:rFonts w:cs="Arial"/>
                <w:color w:val="000000" w:themeColor="text1"/>
                <w:sz w:val="20"/>
                <w:szCs w:val="20"/>
              </w:rPr>
              <w:t xml:space="preserve"> </w:t>
            </w:r>
          </w:p>
        </w:tc>
      </w:tr>
      <w:tr w:rsidR="00550458" w:rsidRPr="00DE692F" w14:paraId="422AF25A" w14:textId="77777777" w:rsidTr="00A30651">
        <w:trPr>
          <w:trHeight w:val="300"/>
        </w:trPr>
        <w:tc>
          <w:tcPr>
            <w:tcW w:w="551" w:type="dxa"/>
            <w:vAlign w:val="center"/>
          </w:tcPr>
          <w:p w14:paraId="276D257E" w14:textId="77777777" w:rsidR="00550458" w:rsidRPr="00DE692F" w:rsidRDefault="00550458" w:rsidP="000E5563">
            <w:pPr>
              <w:pStyle w:val="Prrafodelista"/>
              <w:numPr>
                <w:ilvl w:val="0"/>
                <w:numId w:val="27"/>
              </w:numPr>
              <w:rPr>
                <w:rFonts w:ascii="Arial" w:hAnsi="Arial" w:cs="Arial"/>
                <w:color w:val="000000" w:themeColor="text1"/>
                <w:sz w:val="20"/>
                <w:szCs w:val="20"/>
              </w:rPr>
            </w:pPr>
          </w:p>
        </w:tc>
        <w:tc>
          <w:tcPr>
            <w:tcW w:w="5103" w:type="dxa"/>
            <w:vMerge/>
            <w:vAlign w:val="center"/>
          </w:tcPr>
          <w:p w14:paraId="21440906" w14:textId="701B5C1D" w:rsidR="00550458" w:rsidRPr="00DE692F" w:rsidRDefault="00550458" w:rsidP="000E5563">
            <w:pPr>
              <w:rPr>
                <w:rFonts w:cs="Arial"/>
                <w:color w:val="000000" w:themeColor="text1"/>
                <w:sz w:val="20"/>
                <w:szCs w:val="20"/>
              </w:rPr>
            </w:pPr>
          </w:p>
        </w:tc>
        <w:tc>
          <w:tcPr>
            <w:tcW w:w="4808" w:type="dxa"/>
            <w:vAlign w:val="center"/>
          </w:tcPr>
          <w:p w14:paraId="1AFFF2B6"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Participación del Proyecto FOLUR Perú en la Plataforma Global K2A</w:t>
            </w:r>
          </w:p>
          <w:p w14:paraId="680EE431" w14:textId="77777777" w:rsidR="002C544C" w:rsidRPr="002C544C" w:rsidRDefault="002C544C" w:rsidP="002C544C">
            <w:pPr>
              <w:rPr>
                <w:rFonts w:cs="Arial"/>
                <w:color w:val="000000" w:themeColor="text1"/>
                <w:sz w:val="20"/>
                <w:szCs w:val="20"/>
              </w:rPr>
            </w:pPr>
          </w:p>
          <w:p w14:paraId="1E550EDC"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 xml:space="preserve">Sequimiento al proceso de detección de necesidades de capacitación validación de temas y programación de contacto con especialistas de la plataforma global  </w:t>
            </w:r>
          </w:p>
          <w:p w14:paraId="4027C658" w14:textId="77777777" w:rsidR="002C544C" w:rsidRPr="002C544C" w:rsidRDefault="002C544C" w:rsidP="002C544C">
            <w:pPr>
              <w:rPr>
                <w:rFonts w:cs="Arial"/>
                <w:color w:val="000000" w:themeColor="text1"/>
                <w:sz w:val="20"/>
                <w:szCs w:val="20"/>
              </w:rPr>
            </w:pPr>
          </w:p>
          <w:p w14:paraId="50F0EF31"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lastRenderedPageBreak/>
              <w:t>Presentación Gestión Integral del Paisaje en el Proyecto FOLUR Perú, avances y retos</w:t>
            </w:r>
          </w:p>
          <w:p w14:paraId="461500BE" w14:textId="77777777" w:rsidR="002C544C" w:rsidRPr="002C544C" w:rsidRDefault="002C544C" w:rsidP="002C544C">
            <w:pPr>
              <w:rPr>
                <w:rFonts w:cs="Arial"/>
                <w:color w:val="000000" w:themeColor="text1"/>
                <w:sz w:val="20"/>
                <w:szCs w:val="20"/>
              </w:rPr>
            </w:pPr>
          </w:p>
          <w:p w14:paraId="2ECA5FFA"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Peru - Deforestation Free Commodity Supply Chains in the Peruvian Amazon</w:t>
            </w:r>
          </w:p>
          <w:p w14:paraId="24D0C354" w14:textId="77777777" w:rsidR="002C544C" w:rsidRPr="002C544C" w:rsidRDefault="002C544C" w:rsidP="002C544C">
            <w:pPr>
              <w:rPr>
                <w:rFonts w:cs="Arial"/>
                <w:color w:val="000000" w:themeColor="text1"/>
                <w:sz w:val="20"/>
                <w:szCs w:val="20"/>
              </w:rPr>
            </w:pPr>
          </w:p>
          <w:p w14:paraId="4A1AF223" w14:textId="71F86E4F" w:rsidR="002B3339" w:rsidRPr="00DE692F" w:rsidRDefault="002C544C" w:rsidP="002C544C">
            <w:pPr>
              <w:rPr>
                <w:rFonts w:cs="Arial"/>
                <w:color w:val="000000" w:themeColor="text1"/>
                <w:sz w:val="20"/>
                <w:szCs w:val="20"/>
              </w:rPr>
            </w:pPr>
            <w:hyperlink r:id="rId57" w:history="1">
              <w:r w:rsidRPr="003A48A5">
                <w:rPr>
                  <w:rStyle w:val="Hipervnculo"/>
                  <w:rFonts w:cs="Arial"/>
                  <w:sz w:val="20"/>
                  <w:szCs w:val="20"/>
                </w:rPr>
                <w:t>https://www.folur.org/knowledge/peru-deforestation-free-commodity-supply-chains-peruvian-amazon</w:t>
              </w:r>
            </w:hyperlink>
            <w:r>
              <w:rPr>
                <w:rFonts w:cs="Arial"/>
                <w:color w:val="000000" w:themeColor="text1"/>
                <w:sz w:val="20"/>
                <w:szCs w:val="20"/>
              </w:rPr>
              <w:t xml:space="preserve"> </w:t>
            </w:r>
            <w:r w:rsidR="002B3339">
              <w:rPr>
                <w:rFonts w:cs="Arial"/>
                <w:color w:val="000000" w:themeColor="text1"/>
                <w:sz w:val="20"/>
                <w:szCs w:val="20"/>
              </w:rPr>
              <w:t xml:space="preserve"> </w:t>
            </w:r>
          </w:p>
        </w:tc>
        <w:tc>
          <w:tcPr>
            <w:tcW w:w="4406" w:type="dxa"/>
            <w:vAlign w:val="center"/>
          </w:tcPr>
          <w:p w14:paraId="06C80315" w14:textId="563759D2" w:rsidR="00550458" w:rsidRPr="00DE692F" w:rsidRDefault="00550458" w:rsidP="000E5563">
            <w:pPr>
              <w:rPr>
                <w:rFonts w:cs="Arial"/>
                <w:color w:val="000000" w:themeColor="text1"/>
                <w:sz w:val="20"/>
                <w:szCs w:val="20"/>
              </w:rPr>
            </w:pPr>
            <w:hyperlink r:id="rId58" w:history="1">
              <w:r w:rsidRPr="00DE692F">
                <w:rPr>
                  <w:rStyle w:val="Hipervnculo"/>
                  <w:rFonts w:cs="Arial"/>
                  <w:sz w:val="20"/>
                  <w:szCs w:val="20"/>
                </w:rPr>
                <w:t>https://drive.google.com/open?id=1bR_M0wgPmp_MBvXZInPS8Nsr8Z9127kN&amp;usp=drive_fs</w:t>
              </w:r>
            </w:hyperlink>
            <w:r w:rsidRPr="00DE692F">
              <w:rPr>
                <w:rFonts w:cs="Arial"/>
                <w:color w:val="000000" w:themeColor="text1"/>
                <w:sz w:val="20"/>
                <w:szCs w:val="20"/>
              </w:rPr>
              <w:t xml:space="preserve"> </w:t>
            </w:r>
          </w:p>
        </w:tc>
      </w:tr>
      <w:tr w:rsidR="00550458" w:rsidRPr="00DE692F" w14:paraId="30C5E932" w14:textId="77777777" w:rsidTr="00A30651">
        <w:trPr>
          <w:trHeight w:val="300"/>
        </w:trPr>
        <w:tc>
          <w:tcPr>
            <w:tcW w:w="551" w:type="dxa"/>
            <w:vAlign w:val="center"/>
          </w:tcPr>
          <w:p w14:paraId="04A0499B" w14:textId="77777777" w:rsidR="00550458" w:rsidRPr="00DE692F" w:rsidRDefault="00550458" w:rsidP="000E5563">
            <w:pPr>
              <w:pStyle w:val="Prrafodelista"/>
              <w:numPr>
                <w:ilvl w:val="0"/>
                <w:numId w:val="27"/>
              </w:numPr>
              <w:rPr>
                <w:rFonts w:ascii="Arial" w:hAnsi="Arial" w:cs="Arial"/>
                <w:color w:val="000000" w:themeColor="text1"/>
                <w:sz w:val="20"/>
                <w:szCs w:val="20"/>
              </w:rPr>
            </w:pPr>
          </w:p>
        </w:tc>
        <w:tc>
          <w:tcPr>
            <w:tcW w:w="5103" w:type="dxa"/>
            <w:vMerge/>
            <w:vAlign w:val="center"/>
          </w:tcPr>
          <w:p w14:paraId="143469CC" w14:textId="64A9B6A6" w:rsidR="00550458" w:rsidRPr="00DE692F" w:rsidRDefault="00550458" w:rsidP="000E5563">
            <w:pPr>
              <w:rPr>
                <w:rFonts w:cs="Arial"/>
                <w:color w:val="000000" w:themeColor="text1"/>
                <w:sz w:val="20"/>
                <w:szCs w:val="20"/>
              </w:rPr>
            </w:pPr>
          </w:p>
        </w:tc>
        <w:tc>
          <w:tcPr>
            <w:tcW w:w="4808" w:type="dxa"/>
            <w:vAlign w:val="center"/>
          </w:tcPr>
          <w:p w14:paraId="4F0F602D" w14:textId="3A5DAAFD" w:rsidR="00550458" w:rsidRPr="00DE692F" w:rsidRDefault="00550458" w:rsidP="00550458">
            <w:pPr>
              <w:rPr>
                <w:rFonts w:cs="Arial"/>
                <w:color w:val="000000" w:themeColor="text1"/>
                <w:sz w:val="20"/>
                <w:szCs w:val="20"/>
              </w:rPr>
            </w:pPr>
            <w:r w:rsidRPr="00DE692F">
              <w:rPr>
                <w:rFonts w:cs="Arial"/>
                <w:color w:val="000000" w:themeColor="text1"/>
                <w:sz w:val="20"/>
                <w:szCs w:val="20"/>
              </w:rPr>
              <w:t>Brechas y necesidades para la interconexión de FOLUR Perú con las plataformas de</w:t>
            </w:r>
            <w:r w:rsidR="002B3339">
              <w:rPr>
                <w:rFonts w:cs="Arial"/>
                <w:color w:val="000000" w:themeColor="text1"/>
                <w:sz w:val="20"/>
                <w:szCs w:val="20"/>
              </w:rPr>
              <w:t xml:space="preserve"> </w:t>
            </w:r>
            <w:r w:rsidRPr="00DE692F">
              <w:rPr>
                <w:rFonts w:cs="Arial"/>
                <w:color w:val="000000" w:themeColor="text1"/>
                <w:sz w:val="20"/>
                <w:szCs w:val="20"/>
              </w:rPr>
              <w:t>aprendizaje que apoyan café y cacao libres de deforestación nacionales, internacionales y</w:t>
            </w:r>
          </w:p>
          <w:p w14:paraId="39CB6A36" w14:textId="1BE974D1" w:rsidR="00550458" w:rsidRPr="00DE692F" w:rsidRDefault="00550458" w:rsidP="00550458">
            <w:pPr>
              <w:rPr>
                <w:rFonts w:cs="Arial"/>
                <w:color w:val="000000" w:themeColor="text1"/>
                <w:sz w:val="20"/>
                <w:szCs w:val="20"/>
              </w:rPr>
            </w:pPr>
            <w:r w:rsidRPr="00DE692F">
              <w:rPr>
                <w:rFonts w:cs="Arial"/>
                <w:color w:val="000000" w:themeColor="text1"/>
                <w:sz w:val="20"/>
                <w:szCs w:val="20"/>
              </w:rPr>
              <w:t>la Plataforma Global de FOLUR.</w:t>
            </w:r>
          </w:p>
        </w:tc>
        <w:tc>
          <w:tcPr>
            <w:tcW w:w="4406" w:type="dxa"/>
            <w:vAlign w:val="center"/>
          </w:tcPr>
          <w:p w14:paraId="4BB66ECF" w14:textId="563322CE" w:rsidR="00550458" w:rsidRPr="00DE692F" w:rsidRDefault="00550458" w:rsidP="000E5563">
            <w:pPr>
              <w:rPr>
                <w:rFonts w:cs="Arial"/>
                <w:color w:val="000000" w:themeColor="text1"/>
                <w:sz w:val="20"/>
                <w:szCs w:val="20"/>
              </w:rPr>
            </w:pPr>
            <w:hyperlink r:id="rId59" w:history="1">
              <w:r w:rsidRPr="00DE692F">
                <w:rPr>
                  <w:rStyle w:val="Hipervnculo"/>
                  <w:rFonts w:cs="Arial"/>
                  <w:sz w:val="20"/>
                  <w:szCs w:val="20"/>
                </w:rPr>
                <w:t>https://drive.google.com/open?id=1VM6tFk-WwZGJvxqynoKttaxbeOcP3SPL&amp;usp=drive_fs</w:t>
              </w:r>
            </w:hyperlink>
            <w:r w:rsidRPr="00DE692F">
              <w:rPr>
                <w:rFonts w:cs="Arial"/>
                <w:color w:val="000000" w:themeColor="text1"/>
                <w:sz w:val="20"/>
                <w:szCs w:val="20"/>
              </w:rPr>
              <w:t xml:space="preserve"> </w:t>
            </w:r>
          </w:p>
        </w:tc>
      </w:tr>
      <w:tr w:rsidR="002C544C" w:rsidRPr="00DE692F" w14:paraId="3735D519" w14:textId="77777777" w:rsidTr="00A30651">
        <w:trPr>
          <w:trHeight w:val="300"/>
        </w:trPr>
        <w:tc>
          <w:tcPr>
            <w:tcW w:w="551" w:type="dxa"/>
            <w:vMerge w:val="restart"/>
            <w:vAlign w:val="center"/>
          </w:tcPr>
          <w:p w14:paraId="338FEF84" w14:textId="77777777" w:rsidR="002C544C" w:rsidRPr="00DE692F" w:rsidRDefault="002C544C" w:rsidP="00550458">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33E47851" w14:textId="14928E62" w:rsidR="002C544C" w:rsidRPr="00DE692F" w:rsidRDefault="002C544C" w:rsidP="00550458">
            <w:pPr>
              <w:rPr>
                <w:rFonts w:cs="Arial"/>
                <w:color w:val="000000" w:themeColor="text1"/>
                <w:sz w:val="20"/>
                <w:szCs w:val="20"/>
              </w:rPr>
            </w:pPr>
            <w:r w:rsidRPr="00DE692F">
              <w:rPr>
                <w:rFonts w:cs="Arial"/>
                <w:color w:val="000000" w:themeColor="text1"/>
                <w:sz w:val="20"/>
                <w:szCs w:val="20"/>
              </w:rPr>
              <w:t>Producto 4.1.2</w:t>
            </w:r>
          </w:p>
        </w:tc>
        <w:tc>
          <w:tcPr>
            <w:tcW w:w="4808" w:type="dxa"/>
            <w:vAlign w:val="center"/>
          </w:tcPr>
          <w:p w14:paraId="4BEC6F30"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Participación del Proyecto FOLUR en el Primer Encuentro Anual “CCUSAF: Producción Libre de Deforestación”</w:t>
            </w:r>
          </w:p>
          <w:p w14:paraId="48725BBB" w14:textId="77777777" w:rsidR="002C544C" w:rsidRPr="002C544C" w:rsidRDefault="002C544C" w:rsidP="002C544C">
            <w:pPr>
              <w:rPr>
                <w:rFonts w:cs="Arial"/>
                <w:color w:val="000000" w:themeColor="text1"/>
                <w:sz w:val="20"/>
                <w:szCs w:val="20"/>
              </w:rPr>
            </w:pPr>
          </w:p>
          <w:p w14:paraId="6635DFDC"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Organización la plenaria “Innovación para la trazabilidad: soluciones tecnológicas en cadenas de valor de café y cacao libres de deforestación”</w:t>
            </w:r>
          </w:p>
          <w:p w14:paraId="3BD9ED57" w14:textId="77777777" w:rsidR="002C544C" w:rsidRPr="002C544C" w:rsidRDefault="002C544C" w:rsidP="002C544C">
            <w:pPr>
              <w:rPr>
                <w:rFonts w:cs="Arial"/>
                <w:color w:val="000000" w:themeColor="text1"/>
                <w:sz w:val="20"/>
                <w:szCs w:val="20"/>
              </w:rPr>
            </w:pPr>
          </w:p>
          <w:p w14:paraId="202433C3" w14:textId="77777777" w:rsidR="002C544C" w:rsidRDefault="002C544C" w:rsidP="002C544C">
            <w:pPr>
              <w:rPr>
                <w:rFonts w:cs="Arial"/>
                <w:color w:val="000000" w:themeColor="text1"/>
                <w:sz w:val="20"/>
                <w:szCs w:val="20"/>
              </w:rPr>
            </w:pPr>
            <w:r w:rsidRPr="002C544C">
              <w:rPr>
                <w:rFonts w:cs="Arial"/>
                <w:color w:val="000000" w:themeColor="text1"/>
                <w:sz w:val="20"/>
                <w:szCs w:val="20"/>
              </w:rPr>
              <w:t>Participación en el Primer Taller Regional del Programa FOLUR en América Latina y el Caribe</w:t>
            </w:r>
          </w:p>
          <w:p w14:paraId="5EE87B57" w14:textId="7C7BAAE4" w:rsidR="002C544C" w:rsidRPr="00DE692F" w:rsidRDefault="002C544C" w:rsidP="002C544C">
            <w:pPr>
              <w:rPr>
                <w:rFonts w:cs="Arial"/>
                <w:color w:val="000000" w:themeColor="text1"/>
                <w:sz w:val="20"/>
                <w:szCs w:val="20"/>
              </w:rPr>
            </w:pPr>
          </w:p>
        </w:tc>
        <w:tc>
          <w:tcPr>
            <w:tcW w:w="4406" w:type="dxa"/>
            <w:vAlign w:val="center"/>
          </w:tcPr>
          <w:p w14:paraId="7796A8AC" w14:textId="0E35EB0D" w:rsidR="002C544C" w:rsidRDefault="002C544C" w:rsidP="00550458">
            <w:pPr>
              <w:rPr>
                <w:rFonts w:cs="Arial"/>
                <w:color w:val="000000" w:themeColor="text1"/>
                <w:sz w:val="20"/>
                <w:szCs w:val="20"/>
              </w:rPr>
            </w:pPr>
            <w:hyperlink r:id="rId60" w:history="1">
              <w:r w:rsidRPr="003A48A5">
                <w:rPr>
                  <w:rStyle w:val="Hipervnculo"/>
                  <w:rFonts w:cs="Arial"/>
                  <w:sz w:val="20"/>
                  <w:szCs w:val="20"/>
                </w:rPr>
                <w:t>https://drive.google.com/open?id=1DsrWrog2S3I24NMe8seYJmAU14pjz_8q&amp;usp=drive_fs</w:t>
              </w:r>
            </w:hyperlink>
            <w:r>
              <w:rPr>
                <w:rFonts w:cs="Arial"/>
                <w:color w:val="000000" w:themeColor="text1"/>
                <w:sz w:val="20"/>
                <w:szCs w:val="20"/>
              </w:rPr>
              <w:t xml:space="preserve"> </w:t>
            </w:r>
          </w:p>
          <w:p w14:paraId="2F71D904" w14:textId="77777777" w:rsidR="002C544C" w:rsidRDefault="002C544C" w:rsidP="00550458">
            <w:pPr>
              <w:rPr>
                <w:rFonts w:cs="Arial"/>
                <w:color w:val="000000" w:themeColor="text1"/>
                <w:sz w:val="20"/>
                <w:szCs w:val="20"/>
              </w:rPr>
            </w:pPr>
          </w:p>
          <w:p w14:paraId="17D09020" w14:textId="02600DF7" w:rsidR="002C544C" w:rsidRPr="00DE692F" w:rsidRDefault="002C544C" w:rsidP="00550458">
            <w:pPr>
              <w:rPr>
                <w:rFonts w:cs="Arial"/>
                <w:color w:val="000000" w:themeColor="text1"/>
                <w:sz w:val="20"/>
                <w:szCs w:val="20"/>
              </w:rPr>
            </w:pPr>
          </w:p>
        </w:tc>
      </w:tr>
      <w:tr w:rsidR="002C544C" w:rsidRPr="00DE692F" w14:paraId="2082B1D5" w14:textId="77777777" w:rsidTr="00A30651">
        <w:trPr>
          <w:trHeight w:val="300"/>
        </w:trPr>
        <w:tc>
          <w:tcPr>
            <w:tcW w:w="551" w:type="dxa"/>
            <w:vMerge/>
            <w:vAlign w:val="center"/>
          </w:tcPr>
          <w:p w14:paraId="20DC71F4" w14:textId="77777777" w:rsidR="002C544C" w:rsidRPr="00DE692F" w:rsidRDefault="002C544C" w:rsidP="002C544C">
            <w:pPr>
              <w:pStyle w:val="Prrafodelista"/>
              <w:ind w:left="360"/>
              <w:rPr>
                <w:rFonts w:ascii="Arial" w:hAnsi="Arial" w:cs="Arial"/>
                <w:color w:val="000000" w:themeColor="text1"/>
                <w:sz w:val="20"/>
                <w:szCs w:val="20"/>
              </w:rPr>
            </w:pPr>
          </w:p>
        </w:tc>
        <w:tc>
          <w:tcPr>
            <w:tcW w:w="5103" w:type="dxa"/>
            <w:vMerge/>
            <w:vAlign w:val="center"/>
          </w:tcPr>
          <w:p w14:paraId="440C5D2E" w14:textId="77777777" w:rsidR="002C544C" w:rsidRPr="00DE692F" w:rsidRDefault="002C544C" w:rsidP="00550458">
            <w:pPr>
              <w:rPr>
                <w:rFonts w:cs="Arial"/>
                <w:color w:val="000000" w:themeColor="text1"/>
                <w:sz w:val="20"/>
                <w:szCs w:val="20"/>
              </w:rPr>
            </w:pPr>
          </w:p>
        </w:tc>
        <w:tc>
          <w:tcPr>
            <w:tcW w:w="4808" w:type="dxa"/>
            <w:vAlign w:val="center"/>
          </w:tcPr>
          <w:p w14:paraId="2F57F965" w14:textId="77777777" w:rsidR="002C544C" w:rsidRDefault="002C544C" w:rsidP="002C544C">
            <w:pPr>
              <w:rPr>
                <w:rFonts w:cs="Arial"/>
                <w:color w:val="000000" w:themeColor="text1"/>
                <w:sz w:val="20"/>
                <w:szCs w:val="20"/>
              </w:rPr>
            </w:pPr>
          </w:p>
          <w:p w14:paraId="5D07683D"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Sistematización Encuentro Regional de Mujeres Cafetaleras de Cajamarca</w:t>
            </w:r>
          </w:p>
          <w:p w14:paraId="0036D01E" w14:textId="77777777" w:rsidR="002C544C" w:rsidRPr="002C544C" w:rsidRDefault="002C544C" w:rsidP="002C544C">
            <w:pPr>
              <w:rPr>
                <w:rFonts w:cs="Arial"/>
                <w:color w:val="000000" w:themeColor="text1"/>
                <w:sz w:val="20"/>
                <w:szCs w:val="20"/>
              </w:rPr>
            </w:pPr>
          </w:p>
          <w:p w14:paraId="51DACE36" w14:textId="77777777" w:rsidR="002C544C" w:rsidRPr="002C544C" w:rsidRDefault="002C544C" w:rsidP="002C544C">
            <w:pPr>
              <w:rPr>
                <w:rFonts w:cs="Arial"/>
                <w:color w:val="000000" w:themeColor="text1"/>
                <w:sz w:val="20"/>
                <w:szCs w:val="20"/>
              </w:rPr>
            </w:pPr>
            <w:r w:rsidRPr="002C544C">
              <w:rPr>
                <w:rFonts w:cs="Arial"/>
                <w:color w:val="000000" w:themeColor="text1"/>
                <w:sz w:val="20"/>
                <w:szCs w:val="20"/>
              </w:rPr>
              <w:t>Intercambio Nacional de Experiencias de Mujeres Lideresas de la Red Nacional de Mujeres Productoras de Cacao de APPCACAO  (lista y programa)</w:t>
            </w:r>
          </w:p>
          <w:p w14:paraId="5225DA1D" w14:textId="77777777" w:rsidR="002C544C" w:rsidRPr="002C544C" w:rsidRDefault="002C544C" w:rsidP="002C544C">
            <w:pPr>
              <w:rPr>
                <w:rFonts w:cs="Arial"/>
                <w:color w:val="000000" w:themeColor="text1"/>
                <w:sz w:val="20"/>
                <w:szCs w:val="20"/>
              </w:rPr>
            </w:pPr>
          </w:p>
          <w:p w14:paraId="295F88C0" w14:textId="112D735D" w:rsidR="002C544C" w:rsidRPr="002C544C" w:rsidRDefault="002C544C" w:rsidP="002C544C">
            <w:pPr>
              <w:rPr>
                <w:rFonts w:cs="Arial"/>
                <w:color w:val="000000" w:themeColor="text1"/>
                <w:sz w:val="20"/>
                <w:szCs w:val="20"/>
              </w:rPr>
            </w:pPr>
            <w:r w:rsidRPr="002C544C">
              <w:rPr>
                <w:rFonts w:cs="Arial"/>
                <w:color w:val="000000" w:themeColor="text1"/>
                <w:sz w:val="20"/>
                <w:szCs w:val="20"/>
              </w:rPr>
              <w:t>Lista de asistencia Encuentro Regional de Mujeres Cacaoteras San Martín</w:t>
            </w:r>
          </w:p>
        </w:tc>
        <w:tc>
          <w:tcPr>
            <w:tcW w:w="4406" w:type="dxa"/>
            <w:vAlign w:val="center"/>
          </w:tcPr>
          <w:p w14:paraId="510DFBD3" w14:textId="013DDA39" w:rsidR="002C544C" w:rsidRDefault="002C544C" w:rsidP="00550458">
            <w:hyperlink r:id="rId61" w:history="1">
              <w:r w:rsidRPr="003A48A5">
                <w:rPr>
                  <w:rStyle w:val="Hipervnculo"/>
                </w:rPr>
                <w:t>https://drive.google.com/open?id=1DsrWrog2S3I24NMe8seYJmAU14pjz_8q&amp;usp=drive_fs</w:t>
              </w:r>
            </w:hyperlink>
            <w:r>
              <w:t xml:space="preserve"> </w:t>
            </w:r>
          </w:p>
        </w:tc>
      </w:tr>
      <w:tr w:rsidR="002F1085" w:rsidRPr="00DE692F" w14:paraId="7BE4B096" w14:textId="77777777" w:rsidTr="00A30651">
        <w:trPr>
          <w:trHeight w:val="300"/>
        </w:trPr>
        <w:tc>
          <w:tcPr>
            <w:tcW w:w="551" w:type="dxa"/>
            <w:vAlign w:val="center"/>
          </w:tcPr>
          <w:p w14:paraId="273CDFC6" w14:textId="77777777" w:rsidR="002F1085" w:rsidRPr="00DE692F" w:rsidRDefault="002F1085" w:rsidP="002F1085">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6561718A" w14:textId="7D9277E1" w:rsidR="002F1085" w:rsidRPr="00DE692F" w:rsidRDefault="002F1085" w:rsidP="002F1085">
            <w:pPr>
              <w:rPr>
                <w:rFonts w:cs="Arial"/>
                <w:color w:val="000000" w:themeColor="text1"/>
                <w:sz w:val="20"/>
                <w:szCs w:val="20"/>
              </w:rPr>
            </w:pPr>
            <w:r w:rsidRPr="00DE692F">
              <w:rPr>
                <w:rFonts w:cs="Arial"/>
                <w:color w:val="000000" w:themeColor="text1"/>
                <w:sz w:val="20"/>
                <w:szCs w:val="20"/>
              </w:rPr>
              <w:t>Producto 4.1.3</w:t>
            </w:r>
          </w:p>
        </w:tc>
        <w:tc>
          <w:tcPr>
            <w:tcW w:w="4808" w:type="dxa"/>
            <w:vAlign w:val="center"/>
          </w:tcPr>
          <w:p w14:paraId="64180DEF" w14:textId="77777777" w:rsidR="002F1085" w:rsidRDefault="002F1085" w:rsidP="002F1085">
            <w:pPr>
              <w:rPr>
                <w:rFonts w:cs="Arial"/>
                <w:color w:val="000000" w:themeColor="text1"/>
                <w:sz w:val="20"/>
                <w:szCs w:val="20"/>
              </w:rPr>
            </w:pPr>
            <w:r w:rsidRPr="00DE692F">
              <w:rPr>
                <w:rFonts w:cs="Arial"/>
                <w:color w:val="000000" w:themeColor="text1"/>
                <w:sz w:val="20"/>
                <w:szCs w:val="20"/>
              </w:rPr>
              <w:t>Estrategia de articulación y acceso a mercados proyecto “Cadenas de Valor Libres de Deforestación en la Amazonía Peruana” (Proyecto Folur)</w:t>
            </w:r>
          </w:p>
          <w:p w14:paraId="443A1803" w14:textId="77777777" w:rsidR="00CA216D" w:rsidRDefault="00CA216D" w:rsidP="002F1085">
            <w:pPr>
              <w:rPr>
                <w:rFonts w:cs="Arial"/>
                <w:color w:val="000000" w:themeColor="text1"/>
                <w:sz w:val="20"/>
                <w:szCs w:val="20"/>
              </w:rPr>
            </w:pPr>
          </w:p>
          <w:p w14:paraId="4437C06E" w14:textId="497E600C" w:rsidR="00CA216D" w:rsidRDefault="00CA216D" w:rsidP="002F1085">
            <w:pPr>
              <w:rPr>
                <w:rFonts w:cs="Arial"/>
                <w:color w:val="000000" w:themeColor="text1"/>
                <w:sz w:val="20"/>
                <w:szCs w:val="20"/>
              </w:rPr>
            </w:pPr>
            <w:r>
              <w:rPr>
                <w:rFonts w:cs="Arial"/>
                <w:color w:val="000000" w:themeColor="text1"/>
                <w:sz w:val="20"/>
                <w:szCs w:val="20"/>
              </w:rPr>
              <w:t>Implementación de la estrategia por línea estratégica.</w:t>
            </w:r>
          </w:p>
          <w:p w14:paraId="664DA754" w14:textId="29816F9D" w:rsidR="00CA216D" w:rsidRPr="00DE692F" w:rsidRDefault="00CA216D" w:rsidP="002F1085">
            <w:pPr>
              <w:rPr>
                <w:rFonts w:cs="Arial"/>
                <w:color w:val="000000" w:themeColor="text1"/>
                <w:sz w:val="20"/>
                <w:szCs w:val="20"/>
              </w:rPr>
            </w:pPr>
          </w:p>
        </w:tc>
        <w:tc>
          <w:tcPr>
            <w:tcW w:w="4406" w:type="dxa"/>
            <w:vAlign w:val="center"/>
          </w:tcPr>
          <w:p w14:paraId="4C192672" w14:textId="4F1447F8" w:rsidR="002F1085" w:rsidRPr="00DE692F" w:rsidRDefault="00CA216D" w:rsidP="002F1085">
            <w:pPr>
              <w:rPr>
                <w:rFonts w:cs="Arial"/>
                <w:color w:val="000000" w:themeColor="text1"/>
                <w:sz w:val="20"/>
                <w:szCs w:val="20"/>
              </w:rPr>
            </w:pPr>
            <w:hyperlink r:id="rId62" w:history="1">
              <w:r w:rsidRPr="003A48A5">
                <w:rPr>
                  <w:rStyle w:val="Hipervnculo"/>
                </w:rPr>
                <w:t>https://drive.google.com/open?id=1eheGFUlhzF6uLaAp</w:t>
              </w:r>
              <w:r w:rsidRPr="003A48A5">
                <w:rPr>
                  <w:rStyle w:val="Hipervnculo"/>
                </w:rPr>
                <w:t>b</w:t>
              </w:r>
              <w:r w:rsidRPr="003A48A5">
                <w:rPr>
                  <w:rStyle w:val="Hipervnculo"/>
                </w:rPr>
                <w:t>iFwQxnHz9P0svUJ&amp;usp=drive_fs</w:t>
              </w:r>
            </w:hyperlink>
            <w:r>
              <w:t xml:space="preserve"> </w:t>
            </w:r>
          </w:p>
        </w:tc>
      </w:tr>
      <w:tr w:rsidR="002F1085" w:rsidRPr="00DE692F" w14:paraId="66130B31" w14:textId="77777777" w:rsidTr="00A30651">
        <w:trPr>
          <w:trHeight w:val="300"/>
        </w:trPr>
        <w:tc>
          <w:tcPr>
            <w:tcW w:w="551" w:type="dxa"/>
            <w:vAlign w:val="center"/>
          </w:tcPr>
          <w:p w14:paraId="0F576E25" w14:textId="77777777" w:rsidR="002F1085" w:rsidRPr="00DE692F" w:rsidRDefault="002F1085" w:rsidP="002F1085">
            <w:pPr>
              <w:pStyle w:val="Prrafodelista"/>
              <w:numPr>
                <w:ilvl w:val="0"/>
                <w:numId w:val="27"/>
              </w:numPr>
              <w:rPr>
                <w:rFonts w:ascii="Arial" w:hAnsi="Arial" w:cs="Arial"/>
                <w:color w:val="000000" w:themeColor="text1"/>
                <w:sz w:val="20"/>
                <w:szCs w:val="20"/>
              </w:rPr>
            </w:pPr>
          </w:p>
        </w:tc>
        <w:tc>
          <w:tcPr>
            <w:tcW w:w="5103" w:type="dxa"/>
            <w:vMerge/>
            <w:vAlign w:val="center"/>
          </w:tcPr>
          <w:p w14:paraId="28293A77" w14:textId="77777777" w:rsidR="002F1085" w:rsidRPr="00DE692F" w:rsidRDefault="002F1085" w:rsidP="002F1085">
            <w:pPr>
              <w:rPr>
                <w:rFonts w:cs="Arial"/>
                <w:color w:val="000000" w:themeColor="text1"/>
                <w:sz w:val="20"/>
                <w:szCs w:val="20"/>
              </w:rPr>
            </w:pPr>
          </w:p>
        </w:tc>
        <w:tc>
          <w:tcPr>
            <w:tcW w:w="4808" w:type="dxa"/>
            <w:vAlign w:val="center"/>
          </w:tcPr>
          <w:p w14:paraId="2EFFDD63" w14:textId="77777777" w:rsidR="00CA216D" w:rsidRPr="00CA216D" w:rsidRDefault="00CA216D" w:rsidP="00CA216D">
            <w:pPr>
              <w:rPr>
                <w:rFonts w:cs="Arial"/>
                <w:color w:val="000000" w:themeColor="text1"/>
                <w:sz w:val="20"/>
                <w:szCs w:val="20"/>
              </w:rPr>
            </w:pPr>
            <w:r w:rsidRPr="00CA216D">
              <w:rPr>
                <w:rFonts w:cs="Arial"/>
                <w:color w:val="000000" w:themeColor="text1"/>
                <w:sz w:val="20"/>
                <w:szCs w:val="20"/>
              </w:rPr>
              <w:t>Listas de asistencia a los talleres de género</w:t>
            </w:r>
          </w:p>
          <w:p w14:paraId="28DCF702" w14:textId="77777777" w:rsidR="00CA216D" w:rsidRPr="00CA216D" w:rsidRDefault="00CA216D" w:rsidP="00CA216D">
            <w:pPr>
              <w:rPr>
                <w:rFonts w:cs="Arial"/>
                <w:color w:val="000000" w:themeColor="text1"/>
                <w:sz w:val="20"/>
                <w:szCs w:val="20"/>
              </w:rPr>
            </w:pPr>
          </w:p>
          <w:p w14:paraId="50B4A379" w14:textId="3FFCCB9D" w:rsidR="002F1085" w:rsidRPr="00DE692F" w:rsidRDefault="00CA216D" w:rsidP="00CA216D">
            <w:pPr>
              <w:rPr>
                <w:rFonts w:cs="Arial"/>
                <w:color w:val="000000" w:themeColor="text1"/>
                <w:sz w:val="20"/>
                <w:szCs w:val="20"/>
              </w:rPr>
            </w:pPr>
            <w:r w:rsidRPr="00CA216D">
              <w:rPr>
                <w:rFonts w:cs="Arial"/>
                <w:color w:val="000000" w:themeColor="text1"/>
                <w:sz w:val="20"/>
                <w:szCs w:val="20"/>
              </w:rPr>
              <w:t>Informe Programa de Liderazgo y Empoderamiento para Lideresas de Café y Cacao Libre de Deforestación</w:t>
            </w:r>
          </w:p>
        </w:tc>
        <w:tc>
          <w:tcPr>
            <w:tcW w:w="4406" w:type="dxa"/>
            <w:vAlign w:val="center"/>
          </w:tcPr>
          <w:p w14:paraId="2F8182C2" w14:textId="77777777" w:rsidR="002F1085" w:rsidRDefault="00965268" w:rsidP="002F1085">
            <w:pPr>
              <w:rPr>
                <w:rFonts w:cs="Arial"/>
                <w:color w:val="000000" w:themeColor="text1"/>
                <w:sz w:val="20"/>
                <w:szCs w:val="20"/>
              </w:rPr>
            </w:pPr>
            <w:hyperlink r:id="rId63" w:history="1">
              <w:r w:rsidRPr="004C4ADD">
                <w:rPr>
                  <w:rStyle w:val="Hipervnculo"/>
                  <w:rFonts w:cs="Arial"/>
                  <w:sz w:val="20"/>
                  <w:szCs w:val="20"/>
                </w:rPr>
                <w:t>https://drive.google.com/open?id=1hiEHlPT7HUcSQ2p22K0gYcLGmPhIthLm&amp;usp=drive_fs</w:t>
              </w:r>
            </w:hyperlink>
            <w:r>
              <w:rPr>
                <w:rFonts w:cs="Arial"/>
                <w:color w:val="000000" w:themeColor="text1"/>
                <w:sz w:val="20"/>
                <w:szCs w:val="20"/>
              </w:rPr>
              <w:t xml:space="preserve"> </w:t>
            </w:r>
          </w:p>
          <w:p w14:paraId="3CF0344C" w14:textId="5CCB9382" w:rsidR="00CA216D" w:rsidRPr="00DE692F" w:rsidRDefault="00CA216D" w:rsidP="002F1085">
            <w:pPr>
              <w:rPr>
                <w:rFonts w:cs="Arial"/>
                <w:color w:val="000000" w:themeColor="text1"/>
                <w:sz w:val="20"/>
                <w:szCs w:val="20"/>
              </w:rPr>
            </w:pPr>
          </w:p>
        </w:tc>
      </w:tr>
      <w:tr w:rsidR="002F1085" w:rsidRPr="00DE692F" w14:paraId="0FD74CD1" w14:textId="77777777" w:rsidTr="00E64546">
        <w:trPr>
          <w:trHeight w:val="300"/>
        </w:trPr>
        <w:tc>
          <w:tcPr>
            <w:tcW w:w="14868" w:type="dxa"/>
            <w:gridSpan w:val="4"/>
            <w:vAlign w:val="center"/>
          </w:tcPr>
          <w:p w14:paraId="6D27182C" w14:textId="2B9D76FB" w:rsidR="002F1085" w:rsidRPr="00DE692F" w:rsidRDefault="002F1085" w:rsidP="002F1085">
            <w:pPr>
              <w:rPr>
                <w:rFonts w:cs="Arial"/>
                <w:color w:val="000000" w:themeColor="text1"/>
                <w:sz w:val="20"/>
                <w:szCs w:val="20"/>
              </w:rPr>
            </w:pPr>
            <w:r w:rsidRPr="00DE692F">
              <w:rPr>
                <w:b/>
                <w:bCs/>
                <w:color w:val="000000"/>
                <w:sz w:val="20"/>
                <w:szCs w:val="20"/>
              </w:rPr>
              <w:t>Resultado 8</w:t>
            </w:r>
          </w:p>
        </w:tc>
      </w:tr>
      <w:tr w:rsidR="002F1085" w:rsidRPr="00DE692F" w14:paraId="4EA3F15B" w14:textId="77777777" w:rsidTr="00A30651">
        <w:trPr>
          <w:trHeight w:val="300"/>
        </w:trPr>
        <w:tc>
          <w:tcPr>
            <w:tcW w:w="551" w:type="dxa"/>
            <w:vAlign w:val="center"/>
          </w:tcPr>
          <w:p w14:paraId="66EB636F" w14:textId="77777777" w:rsidR="002F1085" w:rsidRPr="00DE692F" w:rsidRDefault="002F1085" w:rsidP="002F1085">
            <w:pPr>
              <w:pStyle w:val="Prrafodelista"/>
              <w:numPr>
                <w:ilvl w:val="0"/>
                <w:numId w:val="27"/>
              </w:numPr>
              <w:rPr>
                <w:rFonts w:ascii="Arial" w:hAnsi="Arial" w:cs="Arial"/>
                <w:color w:val="000000" w:themeColor="text1"/>
                <w:sz w:val="20"/>
                <w:szCs w:val="20"/>
              </w:rPr>
            </w:pPr>
          </w:p>
        </w:tc>
        <w:tc>
          <w:tcPr>
            <w:tcW w:w="5103" w:type="dxa"/>
            <w:vMerge w:val="restart"/>
            <w:vAlign w:val="center"/>
          </w:tcPr>
          <w:p w14:paraId="6F5298ED" w14:textId="49E2C4EE" w:rsidR="002F1085" w:rsidRPr="00DE692F" w:rsidRDefault="002F1085" w:rsidP="002F1085">
            <w:pPr>
              <w:rPr>
                <w:rFonts w:cs="Arial"/>
                <w:color w:val="000000" w:themeColor="text1"/>
                <w:sz w:val="20"/>
                <w:szCs w:val="20"/>
              </w:rPr>
            </w:pPr>
            <w:r w:rsidRPr="00DE692F">
              <w:rPr>
                <w:rFonts w:cs="Arial"/>
                <w:color w:val="000000" w:themeColor="text1"/>
                <w:sz w:val="20"/>
                <w:szCs w:val="20"/>
              </w:rPr>
              <w:t>Producto 4.2.1</w:t>
            </w:r>
          </w:p>
        </w:tc>
        <w:tc>
          <w:tcPr>
            <w:tcW w:w="4808" w:type="dxa"/>
            <w:vAlign w:val="center"/>
          </w:tcPr>
          <w:p w14:paraId="19870A4B" w14:textId="77777777" w:rsidR="002F1085" w:rsidRDefault="002F1085" w:rsidP="002F1085">
            <w:pPr>
              <w:rPr>
                <w:rFonts w:cs="Arial"/>
                <w:color w:val="000000" w:themeColor="text1"/>
                <w:sz w:val="20"/>
                <w:szCs w:val="20"/>
              </w:rPr>
            </w:pPr>
            <w:r w:rsidRPr="00DE692F">
              <w:rPr>
                <w:rFonts w:cs="Arial"/>
                <w:color w:val="000000" w:themeColor="text1"/>
                <w:sz w:val="20"/>
                <w:szCs w:val="20"/>
              </w:rPr>
              <w:t>Reporte del PIR</w:t>
            </w:r>
          </w:p>
          <w:p w14:paraId="4EC1A2C0" w14:textId="0A08B63A" w:rsidR="00CA216D" w:rsidRPr="00DE692F" w:rsidRDefault="00CA216D" w:rsidP="002F1085">
            <w:pPr>
              <w:rPr>
                <w:rFonts w:cs="Arial"/>
                <w:color w:val="000000" w:themeColor="text1"/>
                <w:sz w:val="20"/>
                <w:szCs w:val="20"/>
              </w:rPr>
            </w:pPr>
            <w:r>
              <w:rPr>
                <w:rFonts w:cs="Arial"/>
                <w:color w:val="000000" w:themeColor="text1"/>
                <w:sz w:val="20"/>
                <w:szCs w:val="20"/>
              </w:rPr>
              <w:t>Línea base</w:t>
            </w:r>
          </w:p>
        </w:tc>
        <w:tc>
          <w:tcPr>
            <w:tcW w:w="4406" w:type="dxa"/>
            <w:vAlign w:val="center"/>
          </w:tcPr>
          <w:p w14:paraId="758D73E4" w14:textId="3A56245D" w:rsidR="002F1085" w:rsidRPr="00DE692F" w:rsidRDefault="002F1085" w:rsidP="002F1085">
            <w:pPr>
              <w:rPr>
                <w:rFonts w:cs="Arial"/>
                <w:color w:val="000000" w:themeColor="text1"/>
                <w:sz w:val="20"/>
                <w:szCs w:val="20"/>
              </w:rPr>
            </w:pPr>
            <w:hyperlink r:id="rId64" w:history="1">
              <w:r w:rsidRPr="00DE692F">
                <w:rPr>
                  <w:rStyle w:val="Hipervnculo"/>
                  <w:rFonts w:cs="Arial"/>
                  <w:sz w:val="20"/>
                  <w:szCs w:val="20"/>
                </w:rPr>
                <w:t>https://drive.google.com/open?id=1-itAUlbWQe5Se50cvzCiE49MFUh_33pB&amp;usp=drive_fs</w:t>
              </w:r>
            </w:hyperlink>
            <w:r w:rsidRPr="00DE692F">
              <w:rPr>
                <w:rFonts w:cs="Arial"/>
                <w:color w:val="000000" w:themeColor="text1"/>
                <w:sz w:val="20"/>
                <w:szCs w:val="20"/>
              </w:rPr>
              <w:t xml:space="preserve"> </w:t>
            </w:r>
          </w:p>
        </w:tc>
      </w:tr>
      <w:tr w:rsidR="002F1085" w:rsidRPr="00DE692F" w14:paraId="1F6CB34A" w14:textId="77777777" w:rsidTr="00A30651">
        <w:trPr>
          <w:trHeight w:val="300"/>
        </w:trPr>
        <w:tc>
          <w:tcPr>
            <w:tcW w:w="551" w:type="dxa"/>
            <w:vAlign w:val="center"/>
          </w:tcPr>
          <w:p w14:paraId="026F0FE5" w14:textId="77777777" w:rsidR="002F1085" w:rsidRPr="00DE692F" w:rsidRDefault="002F1085" w:rsidP="002F1085">
            <w:pPr>
              <w:pStyle w:val="Prrafodelista"/>
              <w:numPr>
                <w:ilvl w:val="0"/>
                <w:numId w:val="27"/>
              </w:numPr>
              <w:rPr>
                <w:rFonts w:ascii="Arial" w:hAnsi="Arial" w:cs="Arial"/>
                <w:color w:val="000000" w:themeColor="text1"/>
                <w:sz w:val="20"/>
                <w:szCs w:val="20"/>
              </w:rPr>
            </w:pPr>
          </w:p>
        </w:tc>
        <w:tc>
          <w:tcPr>
            <w:tcW w:w="5103" w:type="dxa"/>
            <w:vMerge/>
            <w:vAlign w:val="center"/>
          </w:tcPr>
          <w:p w14:paraId="79C183E1" w14:textId="51246085" w:rsidR="002F1085" w:rsidRPr="00DE692F" w:rsidRDefault="002F1085" w:rsidP="002F1085">
            <w:pPr>
              <w:rPr>
                <w:rFonts w:cs="Arial"/>
                <w:color w:val="000000" w:themeColor="text1"/>
                <w:sz w:val="20"/>
                <w:szCs w:val="20"/>
              </w:rPr>
            </w:pPr>
          </w:p>
        </w:tc>
        <w:tc>
          <w:tcPr>
            <w:tcW w:w="4808" w:type="dxa"/>
            <w:vAlign w:val="center"/>
          </w:tcPr>
          <w:p w14:paraId="1D0E3255" w14:textId="77777777" w:rsidR="002F1085" w:rsidRPr="00DE692F" w:rsidRDefault="002F1085" w:rsidP="002F1085">
            <w:pPr>
              <w:rPr>
                <w:rFonts w:cs="Arial"/>
                <w:color w:val="000000" w:themeColor="text1"/>
                <w:sz w:val="20"/>
                <w:szCs w:val="20"/>
              </w:rPr>
            </w:pPr>
            <w:r w:rsidRPr="00DE692F">
              <w:rPr>
                <w:rFonts w:cs="Arial"/>
                <w:color w:val="000000" w:themeColor="text1"/>
                <w:sz w:val="20"/>
                <w:szCs w:val="20"/>
              </w:rPr>
              <w:t>POA 2025 aprobado</w:t>
            </w:r>
          </w:p>
          <w:p w14:paraId="44ADAAD7" w14:textId="77777777" w:rsidR="002F1085" w:rsidRPr="00DE692F" w:rsidRDefault="002F1085" w:rsidP="002F1085">
            <w:pPr>
              <w:rPr>
                <w:rFonts w:cs="Arial"/>
                <w:color w:val="000000" w:themeColor="text1"/>
                <w:sz w:val="20"/>
                <w:szCs w:val="20"/>
              </w:rPr>
            </w:pPr>
          </w:p>
          <w:p w14:paraId="0FED37B8" w14:textId="557FCA47" w:rsidR="002F1085" w:rsidRPr="00DE692F" w:rsidRDefault="002F1085" w:rsidP="002F1085">
            <w:pPr>
              <w:rPr>
                <w:rFonts w:cs="Arial"/>
                <w:color w:val="000000" w:themeColor="text1"/>
                <w:sz w:val="20"/>
                <w:szCs w:val="20"/>
              </w:rPr>
            </w:pPr>
            <w:r w:rsidRPr="00DE692F">
              <w:rPr>
                <w:rFonts w:cs="Arial"/>
                <w:color w:val="000000" w:themeColor="text1"/>
                <w:sz w:val="20"/>
                <w:szCs w:val="20"/>
              </w:rPr>
              <w:t>POA 2026 en elaboración</w:t>
            </w:r>
          </w:p>
        </w:tc>
        <w:tc>
          <w:tcPr>
            <w:tcW w:w="4406" w:type="dxa"/>
            <w:vAlign w:val="center"/>
          </w:tcPr>
          <w:p w14:paraId="1A7F4452" w14:textId="1BACF656" w:rsidR="002F1085" w:rsidRPr="00DE692F" w:rsidRDefault="002F1085" w:rsidP="002F1085">
            <w:pPr>
              <w:rPr>
                <w:rFonts w:cs="Arial"/>
                <w:color w:val="000000" w:themeColor="text1"/>
                <w:sz w:val="20"/>
                <w:szCs w:val="20"/>
              </w:rPr>
            </w:pPr>
            <w:hyperlink r:id="rId65" w:history="1">
              <w:r w:rsidRPr="00DE692F">
                <w:rPr>
                  <w:rStyle w:val="Hipervnculo"/>
                  <w:rFonts w:cs="Arial"/>
                  <w:sz w:val="20"/>
                  <w:szCs w:val="20"/>
                </w:rPr>
                <w:t>https://drive.google.com/open?id=1Azga_rsW3PJwO9YJi3T1QkpGBRfhpglX&amp;usp=drive_fs</w:t>
              </w:r>
            </w:hyperlink>
            <w:r w:rsidRPr="00DE692F">
              <w:rPr>
                <w:rFonts w:cs="Arial"/>
                <w:color w:val="000000" w:themeColor="text1"/>
                <w:sz w:val="20"/>
                <w:szCs w:val="20"/>
              </w:rPr>
              <w:t xml:space="preserve"> </w:t>
            </w:r>
          </w:p>
        </w:tc>
      </w:tr>
      <w:tr w:rsidR="002F1085" w:rsidRPr="00DE692F" w14:paraId="2A2DEF4E" w14:textId="77777777" w:rsidTr="00A30651">
        <w:trPr>
          <w:trHeight w:val="300"/>
        </w:trPr>
        <w:tc>
          <w:tcPr>
            <w:tcW w:w="551" w:type="dxa"/>
            <w:vAlign w:val="center"/>
          </w:tcPr>
          <w:p w14:paraId="2826EBE3" w14:textId="77777777" w:rsidR="002F1085" w:rsidRPr="00DE692F" w:rsidRDefault="002F1085" w:rsidP="002F1085">
            <w:pPr>
              <w:pStyle w:val="Prrafodelista"/>
              <w:numPr>
                <w:ilvl w:val="0"/>
                <w:numId w:val="27"/>
              </w:numPr>
              <w:rPr>
                <w:rFonts w:ascii="Arial" w:hAnsi="Arial" w:cs="Arial"/>
                <w:color w:val="000000" w:themeColor="text1"/>
                <w:sz w:val="20"/>
                <w:szCs w:val="20"/>
              </w:rPr>
            </w:pPr>
          </w:p>
        </w:tc>
        <w:tc>
          <w:tcPr>
            <w:tcW w:w="5103" w:type="dxa"/>
            <w:vAlign w:val="center"/>
          </w:tcPr>
          <w:p w14:paraId="78341A4F" w14:textId="56B94887" w:rsidR="002F1085" w:rsidRPr="00DE692F" w:rsidRDefault="002F1085" w:rsidP="002F1085">
            <w:pPr>
              <w:rPr>
                <w:rFonts w:cs="Arial"/>
                <w:color w:val="000000" w:themeColor="text1"/>
                <w:sz w:val="20"/>
                <w:szCs w:val="20"/>
              </w:rPr>
            </w:pPr>
            <w:r w:rsidRPr="00DE692F">
              <w:rPr>
                <w:rFonts w:cs="Arial"/>
                <w:color w:val="000000" w:themeColor="text1"/>
                <w:sz w:val="20"/>
                <w:szCs w:val="20"/>
              </w:rPr>
              <w:t>Producto 4.2.2</w:t>
            </w:r>
          </w:p>
        </w:tc>
        <w:tc>
          <w:tcPr>
            <w:tcW w:w="4808" w:type="dxa"/>
            <w:vAlign w:val="center"/>
          </w:tcPr>
          <w:p w14:paraId="01E24768" w14:textId="26BAD787" w:rsidR="002F1085" w:rsidRPr="00DE692F" w:rsidRDefault="002F1085" w:rsidP="002F1085">
            <w:pPr>
              <w:rPr>
                <w:rFonts w:cs="Arial"/>
                <w:color w:val="000000" w:themeColor="text1"/>
                <w:sz w:val="20"/>
                <w:szCs w:val="20"/>
              </w:rPr>
            </w:pPr>
            <w:r w:rsidRPr="00DE692F">
              <w:rPr>
                <w:rFonts w:cs="Arial"/>
                <w:color w:val="000000" w:themeColor="text1"/>
                <w:sz w:val="20"/>
                <w:szCs w:val="20"/>
              </w:rPr>
              <w:t>Términos de referencia aprobados del Servicio de diseño e implementación de la metodología CAP para medir el nivel de conciencia de las partes interesadas sobre las soluciones propuestas por el Proyecto FOLUR</w:t>
            </w:r>
          </w:p>
        </w:tc>
        <w:tc>
          <w:tcPr>
            <w:tcW w:w="4406" w:type="dxa"/>
            <w:vAlign w:val="center"/>
          </w:tcPr>
          <w:p w14:paraId="60DA1A40" w14:textId="16268E1B" w:rsidR="002F1085" w:rsidRPr="00DE692F" w:rsidRDefault="002F1085" w:rsidP="002F1085">
            <w:pPr>
              <w:rPr>
                <w:rFonts w:cs="Arial"/>
                <w:color w:val="000000" w:themeColor="text1"/>
                <w:sz w:val="20"/>
                <w:szCs w:val="20"/>
              </w:rPr>
            </w:pPr>
            <w:hyperlink r:id="rId66" w:history="1">
              <w:r w:rsidRPr="00DE692F">
                <w:rPr>
                  <w:rStyle w:val="Hipervnculo"/>
                  <w:rFonts w:cs="Arial"/>
                  <w:sz w:val="20"/>
                  <w:szCs w:val="20"/>
                </w:rPr>
                <w:t>https://drive.google.com/open?id=1_zANkXnusBhH76LSIx8-0di4kBFGpeIA&amp;usp=drive_fs</w:t>
              </w:r>
            </w:hyperlink>
            <w:r w:rsidRPr="00DE692F">
              <w:rPr>
                <w:rFonts w:cs="Arial"/>
                <w:color w:val="000000" w:themeColor="text1"/>
                <w:sz w:val="20"/>
                <w:szCs w:val="20"/>
              </w:rPr>
              <w:t xml:space="preserve"> </w:t>
            </w:r>
          </w:p>
        </w:tc>
      </w:tr>
    </w:tbl>
    <w:p w14:paraId="242BF7FA" w14:textId="437A51DC" w:rsidR="10068F2D" w:rsidRDefault="10068F2D" w:rsidP="10068F2D">
      <w:pPr>
        <w:tabs>
          <w:tab w:val="left" w:pos="4680"/>
        </w:tabs>
        <w:rPr>
          <w:b/>
          <w:bCs/>
          <w:szCs w:val="22"/>
          <w:lang w:val="es-ES"/>
        </w:rPr>
      </w:pPr>
    </w:p>
    <w:sectPr w:rsidR="10068F2D" w:rsidSect="009C7B48">
      <w:pgSz w:w="16838" w:h="11906" w:orient="landscape" w:code="9"/>
      <w:pgMar w:top="720" w:right="720" w:bottom="720" w:left="720" w:header="720" w:footer="43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son Hospina" w:date="2026-02-05T13:47:00Z" w:initials="AH">
    <w:p w14:paraId="00365241" w14:textId="10172546" w:rsidR="006968F0" w:rsidRPr="00DE692F" w:rsidRDefault="006968F0" w:rsidP="006968F0">
      <w:pPr>
        <w:jc w:val="left"/>
      </w:pPr>
      <w:r w:rsidRPr="00DE692F">
        <w:rPr>
          <w:rStyle w:val="Refdecomentario"/>
        </w:rPr>
        <w:annotationRef/>
      </w:r>
      <w:r w:rsidRPr="00DE692F">
        <w:rPr>
          <w:szCs w:val="20"/>
        </w:rPr>
        <w:t xml:space="preserve">Este riesgo tiene que ver con la posibilidad de que debido a algunas acciones del proyecto  se afecte el acceso a recursos y territorios de parte de los indígenas. Por favor, indicar con más detalles estas acciones de mitigación se orientan a ese riesgo. </w:t>
      </w:r>
    </w:p>
  </w:comment>
  <w:comment w:id="1" w:author="José Martín Marquez Flores" w:date="2026-02-05T15:51:00Z" w:initials="JMMF">
    <w:p w14:paraId="071BCB57" w14:textId="77777777" w:rsidR="00E778FA" w:rsidRPr="00DE692F" w:rsidRDefault="006739CE" w:rsidP="00E778FA">
      <w:pPr>
        <w:pStyle w:val="Textocomentario"/>
        <w:jc w:val="left"/>
      </w:pPr>
      <w:r w:rsidRPr="00DE692F">
        <w:rPr>
          <w:rStyle w:val="Refdecomentario"/>
        </w:rPr>
        <w:annotationRef/>
      </w:r>
      <w:r w:rsidR="00E778FA" w:rsidRPr="00DE692F">
        <w:t>Se precisaron más acciones que se vienen realizando y se realizarán.</w:t>
      </w:r>
    </w:p>
  </w:comment>
  <w:comment w:id="2" w:author="Alison Hospina" w:date="2026-02-05T13:49:00Z" w:initials="AH">
    <w:p w14:paraId="3F488114" w14:textId="21BC2E23" w:rsidR="0051067E" w:rsidRPr="00DE692F" w:rsidRDefault="0051067E" w:rsidP="0051067E">
      <w:pPr>
        <w:jc w:val="left"/>
      </w:pPr>
      <w:r w:rsidRPr="00DE692F">
        <w:rPr>
          <w:rStyle w:val="Refdecomentario"/>
        </w:rPr>
        <w:annotationRef/>
      </w:r>
      <w:r w:rsidRPr="00DE692F">
        <w:rPr>
          <w:szCs w:val="20"/>
        </w:rPr>
        <w:t>Algo interesate podría ser que el Proyecto cuenta con un protocolo de entrada a campo en el que se coloquen cuestiones de cuidado sociales y ambientales y que ese doc sea difundido entre todos los actores del proyecto que entran a campo.</w:t>
      </w:r>
    </w:p>
  </w:comment>
  <w:comment w:id="3" w:author="José Martín Marquez Flores" w:date="2026-02-05T15:51:00Z" w:initials="JMMF">
    <w:p w14:paraId="2402EC53" w14:textId="77777777" w:rsidR="00EA3300" w:rsidRPr="00DE692F" w:rsidRDefault="006739CE" w:rsidP="00EA3300">
      <w:pPr>
        <w:pStyle w:val="Textocomentario"/>
        <w:jc w:val="left"/>
      </w:pPr>
      <w:r w:rsidRPr="00DE692F">
        <w:rPr>
          <w:rStyle w:val="Refdecomentario"/>
        </w:rPr>
        <w:annotationRef/>
      </w:r>
      <w:r w:rsidR="00EA3300" w:rsidRPr="00DE692F">
        <w:t xml:space="preserve">Se agregó el Protocolo recomendado. </w:t>
      </w:r>
    </w:p>
  </w:comment>
  <w:comment w:id="4" w:author="Alison Hospina" w:date="2026-02-05T13:50:00Z" w:initials="AH">
    <w:p w14:paraId="617B273F" w14:textId="0C5301C2" w:rsidR="00772D75" w:rsidRPr="00DE692F" w:rsidRDefault="00772D75" w:rsidP="00772D75">
      <w:pPr>
        <w:jc w:val="left"/>
      </w:pPr>
      <w:r w:rsidRPr="00DE692F">
        <w:rPr>
          <w:rStyle w:val="Refdecomentario"/>
        </w:rPr>
        <w:annotationRef/>
      </w:r>
      <w:r w:rsidRPr="00DE692F">
        <w:rPr>
          <w:szCs w:val="20"/>
        </w:rPr>
        <w:t xml:space="preserve">También se ha incorproado este tema del trabajo infantil en los estatutos de las organizaciones. Ver capitulo del enfoque de género. </w:t>
      </w:r>
    </w:p>
    <w:p w14:paraId="105C34C0" w14:textId="77777777" w:rsidR="00772D75" w:rsidRPr="00DE692F" w:rsidRDefault="00772D75" w:rsidP="00772D75">
      <w:pPr>
        <w:jc w:val="left"/>
      </w:pPr>
      <w:r w:rsidRPr="00DE692F">
        <w:rPr>
          <w:szCs w:val="20"/>
        </w:rPr>
        <w:t>colocar aquí todas las acciones relacionadas.</w:t>
      </w:r>
    </w:p>
  </w:comment>
  <w:comment w:id="5" w:author="José Martín Marquez Flores" w:date="2026-02-05T15:51:00Z" w:initials="JMMF">
    <w:p w14:paraId="78F7D67D" w14:textId="77777777" w:rsidR="00B8084C" w:rsidRPr="00DE692F" w:rsidRDefault="006739CE" w:rsidP="00B8084C">
      <w:pPr>
        <w:pStyle w:val="Textocomentario"/>
        <w:jc w:val="left"/>
      </w:pPr>
      <w:r w:rsidRPr="00DE692F">
        <w:rPr>
          <w:rStyle w:val="Refdecomentario"/>
        </w:rPr>
        <w:annotationRef/>
      </w:r>
      <w:r w:rsidR="00B8084C" w:rsidRPr="00DE692F">
        <w:t>Se incorporaron todas las acciones.</w:t>
      </w:r>
    </w:p>
  </w:comment>
  <w:comment w:id="6" w:author="Alison Hospina" w:date="2026-02-05T13:52:00Z" w:initials="AH">
    <w:p w14:paraId="37D30E6F" w14:textId="236BCC40" w:rsidR="0087187D" w:rsidRPr="00DE692F" w:rsidRDefault="0087187D" w:rsidP="0087187D">
      <w:pPr>
        <w:jc w:val="left"/>
      </w:pPr>
      <w:r w:rsidRPr="00DE692F">
        <w:rPr>
          <w:rStyle w:val="Refdecomentario"/>
        </w:rPr>
        <w:annotationRef/>
      </w:r>
      <w:r w:rsidRPr="00DE692F">
        <w:rPr>
          <w:szCs w:val="20"/>
        </w:rPr>
        <w:t>¿con qué objetivo y como eso se relaciona con la mitigación del riesgo?</w:t>
      </w:r>
    </w:p>
  </w:comment>
  <w:comment w:id="7" w:author="José Martín Marquez Flores" w:date="2026-02-05T15:51:00Z" w:initials="JMMF">
    <w:p w14:paraId="07314F6F" w14:textId="77777777" w:rsidR="00BD20CD" w:rsidRPr="00DE692F" w:rsidRDefault="006739CE" w:rsidP="00BD20CD">
      <w:pPr>
        <w:pStyle w:val="Textocomentario"/>
        <w:jc w:val="left"/>
      </w:pPr>
      <w:r w:rsidRPr="00DE692F">
        <w:rPr>
          <w:rStyle w:val="Refdecomentario"/>
        </w:rPr>
        <w:annotationRef/>
      </w:r>
      <w:r w:rsidR="00BD20CD" w:rsidRPr="00DE692F">
        <w:t>Las acciones se complementan para que no se dupliquen los esfuerzos.</w:t>
      </w:r>
    </w:p>
  </w:comment>
  <w:comment w:id="8" w:author="Alison Hospina" w:date="2026-02-05T13:53:00Z" w:initials="AH">
    <w:p w14:paraId="7542AB68" w14:textId="38BE4B5C" w:rsidR="0087187D" w:rsidRPr="00DE692F" w:rsidRDefault="0087187D" w:rsidP="0087187D">
      <w:pPr>
        <w:jc w:val="left"/>
      </w:pPr>
      <w:r w:rsidRPr="00DE692F">
        <w:rPr>
          <w:rStyle w:val="Refdecomentario"/>
        </w:rPr>
        <w:annotationRef/>
      </w:r>
      <w:r w:rsidRPr="00DE692F">
        <w:rPr>
          <w:szCs w:val="20"/>
        </w:rPr>
        <w:t>¿por qué se actualizó? ¿qué nuevo contenido cabe resaltar que esté relacionado con el riesgo?</w:t>
      </w:r>
    </w:p>
  </w:comment>
  <w:comment w:id="9" w:author="José Martín Marquez Flores" w:date="2026-02-05T15:51:00Z" w:initials="JMMF">
    <w:p w14:paraId="6F786822" w14:textId="77777777" w:rsidR="00D27A7C" w:rsidRPr="00DE692F" w:rsidRDefault="006739CE" w:rsidP="00D27A7C">
      <w:pPr>
        <w:pStyle w:val="Textocomentario"/>
        <w:jc w:val="left"/>
      </w:pPr>
      <w:r w:rsidRPr="00DE692F">
        <w:rPr>
          <w:rStyle w:val="Refdecomentario"/>
        </w:rPr>
        <w:annotationRef/>
      </w:r>
      <w:r w:rsidR="00D27A7C" w:rsidRPr="00DE692F">
        <w:t xml:space="preserve">Se actualizó porque el Análisis de Género original se hizo a nivel teórico, y se ha actualizado luego de ingresar al territorio en el marco de actividades del proyecto. </w:t>
      </w:r>
    </w:p>
    <w:p w14:paraId="793FDEAD" w14:textId="77777777" w:rsidR="00D27A7C" w:rsidRPr="00DE692F" w:rsidRDefault="00D27A7C" w:rsidP="00D27A7C">
      <w:pPr>
        <w:pStyle w:val="Textocomentario"/>
        <w:jc w:val="left"/>
      </w:pPr>
    </w:p>
    <w:p w14:paraId="2DA6CC33" w14:textId="77777777" w:rsidR="00D27A7C" w:rsidRPr="00DE692F" w:rsidRDefault="00D27A7C" w:rsidP="00D27A7C">
      <w:pPr>
        <w:pStyle w:val="Textocomentario"/>
        <w:jc w:val="left"/>
      </w:pPr>
      <w:r w:rsidRPr="00DE692F">
        <w:t xml:space="preserve">Los cambios realizados consideraron el marco de resultados modificado. </w:t>
      </w:r>
    </w:p>
  </w:comment>
  <w:comment w:id="10" w:author="Alison Hospina" w:date="2026-02-05T13:54:00Z" w:initials="AH">
    <w:p w14:paraId="08259BB3" w14:textId="3CDC1AEB" w:rsidR="00BD5B83" w:rsidRPr="00DE692F" w:rsidRDefault="00BD5B83" w:rsidP="00BD5B83">
      <w:pPr>
        <w:jc w:val="left"/>
      </w:pPr>
      <w:r w:rsidRPr="00DE692F">
        <w:rPr>
          <w:rStyle w:val="Refdecomentario"/>
        </w:rPr>
        <w:annotationRef/>
      </w:r>
      <w:r w:rsidRPr="00DE692F">
        <w:rPr>
          <w:szCs w:val="20"/>
        </w:rPr>
        <w:t>¿Este diagnóstico permite algo de cara al riesgo? Es decir, este nuevo diagnóstico permite ahora comprender mejor la situación de las mujeres, conocer sus desafios de capacidades???</w:t>
      </w:r>
    </w:p>
  </w:comment>
  <w:comment w:id="11" w:author="Claudia Karina Santos Galindo" w:date="2026-02-17T17:58:00Z" w:initials="CKSG">
    <w:p w14:paraId="4D6D1B1D" w14:textId="77777777" w:rsidR="001972E1" w:rsidRDefault="001972E1" w:rsidP="001972E1">
      <w:pPr>
        <w:pStyle w:val="Textocomentario"/>
        <w:jc w:val="left"/>
      </w:pPr>
      <w:r>
        <w:rPr>
          <w:rStyle w:val="Refdecomentario"/>
        </w:rPr>
        <w:annotationRef/>
      </w:r>
      <w:r>
        <w:t>Se actualizó</w:t>
      </w:r>
    </w:p>
  </w:comment>
  <w:comment w:id="12" w:author="Alison Hospina" w:date="2026-02-05T13:56:00Z" w:initials="AH">
    <w:p w14:paraId="400F5C08" w14:textId="6C990DC6" w:rsidR="005E5096" w:rsidRPr="00DE692F" w:rsidRDefault="005E5096" w:rsidP="005E5096">
      <w:pPr>
        <w:jc w:val="left"/>
      </w:pPr>
      <w:r w:rsidRPr="00DE692F">
        <w:rPr>
          <w:rStyle w:val="Refdecomentario"/>
        </w:rPr>
        <w:annotationRef/>
      </w:r>
      <w:r w:rsidRPr="00DE692F">
        <w:rPr>
          <w:szCs w:val="20"/>
        </w:rPr>
        <w:t>¿Se ha identificado a las lideresas para qué?</w:t>
      </w:r>
    </w:p>
  </w:comment>
  <w:comment w:id="13" w:author="Claudia Karina Santos Galindo" w:date="2026-02-17T18:03:00Z" w:initials="CKSG">
    <w:p w14:paraId="5010BEE7" w14:textId="77777777" w:rsidR="00E77D3B" w:rsidRDefault="00E77D3B" w:rsidP="00E77D3B">
      <w:pPr>
        <w:pStyle w:val="Textocomentario"/>
        <w:jc w:val="left"/>
      </w:pPr>
      <w:r>
        <w:rPr>
          <w:rStyle w:val="Refdecomentario"/>
        </w:rPr>
        <w:annotationRef/>
      </w:r>
      <w:r>
        <w:t>Las lideresas fueron identificadas el 2024, actualizó.</w:t>
      </w:r>
    </w:p>
  </w:comment>
  <w:comment w:id="14" w:author="Alison Hospina" w:date="2026-02-05T13:57:00Z" w:initials="AH">
    <w:p w14:paraId="76025833" w14:textId="12F84E52" w:rsidR="00362760" w:rsidRPr="00DE692F" w:rsidRDefault="00362760" w:rsidP="00362760">
      <w:pPr>
        <w:jc w:val="left"/>
      </w:pPr>
      <w:r w:rsidRPr="00DE692F">
        <w:rPr>
          <w:rStyle w:val="Refdecomentario"/>
        </w:rPr>
        <w:annotationRef/>
      </w:r>
      <w:r w:rsidRPr="00DE692F">
        <w:rPr>
          <w:szCs w:val="20"/>
        </w:rPr>
        <w:t>¿Con qué objetivo?</w:t>
      </w:r>
    </w:p>
    <w:p w14:paraId="3CFF508F" w14:textId="77777777" w:rsidR="00362760" w:rsidRPr="00DE692F" w:rsidRDefault="00362760" w:rsidP="00362760">
      <w:pPr>
        <w:jc w:val="left"/>
      </w:pPr>
      <w:r w:rsidRPr="00DE692F">
        <w:rPr>
          <w:szCs w:val="20"/>
        </w:rPr>
        <w:t>La redacción de estas medidas tiene que reflejar cómo esta acción ayuda a mitigar el riesgo identificado.</w:t>
      </w:r>
    </w:p>
  </w:comment>
  <w:comment w:id="15" w:author="José Martín Marquez Flores" w:date="2026-02-05T15:51:00Z" w:initials="JMMF">
    <w:p w14:paraId="7D3CACBD" w14:textId="77777777" w:rsidR="00F966E0" w:rsidRPr="00DE692F" w:rsidRDefault="006739CE" w:rsidP="00F966E0">
      <w:pPr>
        <w:pStyle w:val="Textocomentario"/>
        <w:jc w:val="left"/>
      </w:pPr>
      <w:r w:rsidRPr="00DE692F">
        <w:rPr>
          <w:rStyle w:val="Refdecomentario"/>
        </w:rPr>
        <w:annotationRef/>
      </w:r>
      <w:r w:rsidR="00F966E0" w:rsidRPr="00DE692F">
        <w:t>Se explicó.</w:t>
      </w:r>
    </w:p>
  </w:comment>
  <w:comment w:id="16" w:author="Alison Hospina" w:date="2026-02-05T13:58:00Z" w:initials="AH">
    <w:p w14:paraId="1B6715BA" w14:textId="1E56388E" w:rsidR="008F3B2E" w:rsidRPr="00DE692F" w:rsidRDefault="008F3B2E" w:rsidP="008F3B2E">
      <w:pPr>
        <w:jc w:val="left"/>
      </w:pPr>
      <w:r w:rsidRPr="00DE692F">
        <w:rPr>
          <w:rStyle w:val="Refdecomentario"/>
        </w:rPr>
        <w:annotationRef/>
      </w:r>
      <w:r w:rsidRPr="00DE692F">
        <w:rPr>
          <w:szCs w:val="20"/>
        </w:rPr>
        <w:t>¿Cuál es la relación entre esta medida de tratamiento y el riesgo? Establecer o explicar mejor cómo la acción contribuye a mitigar el riesgo.</w:t>
      </w:r>
    </w:p>
  </w:comment>
  <w:comment w:id="17" w:author="José Martín Marquez Flores" w:date="2026-02-05T15:51:00Z" w:initials="JMMF">
    <w:p w14:paraId="49D9FD0E" w14:textId="77777777" w:rsidR="004C56D3" w:rsidRPr="00DE692F" w:rsidRDefault="006739CE" w:rsidP="004C56D3">
      <w:pPr>
        <w:pStyle w:val="Textocomentario"/>
        <w:jc w:val="left"/>
      </w:pPr>
      <w:r w:rsidRPr="00DE692F">
        <w:rPr>
          <w:rStyle w:val="Refdecomentario"/>
        </w:rPr>
        <w:annotationRef/>
      </w:r>
      <w:r w:rsidR="004C56D3" w:rsidRPr="00DE692F">
        <w:t>Se explicó.</w:t>
      </w:r>
    </w:p>
  </w:comment>
  <w:comment w:id="18" w:author="Alison Hospina" w:date="2026-02-05T13:58:00Z" w:initials="AH">
    <w:p w14:paraId="5737463C" w14:textId="32F26CFD" w:rsidR="00A91088" w:rsidRPr="00DE692F" w:rsidRDefault="00A91088" w:rsidP="00A91088">
      <w:pPr>
        <w:jc w:val="left"/>
      </w:pPr>
      <w:r w:rsidRPr="00DE692F">
        <w:rPr>
          <w:rStyle w:val="Refdecomentario"/>
        </w:rPr>
        <w:annotationRef/>
      </w:r>
      <w:r w:rsidRPr="00DE692F">
        <w:rPr>
          <w:szCs w:val="20"/>
        </w:rPr>
        <w:t>Mismo comentario</w:t>
      </w:r>
    </w:p>
  </w:comment>
  <w:comment w:id="19" w:author="José Martín Marquez Flores" w:date="2026-02-05T15:51:00Z" w:initials="JMMF">
    <w:p w14:paraId="5A3E6FEB" w14:textId="77777777" w:rsidR="004C56D3" w:rsidRPr="00DE692F" w:rsidRDefault="006739CE" w:rsidP="004C56D3">
      <w:pPr>
        <w:pStyle w:val="Textocomentario"/>
        <w:jc w:val="left"/>
      </w:pPr>
      <w:r w:rsidRPr="00DE692F">
        <w:rPr>
          <w:rStyle w:val="Refdecomentario"/>
        </w:rPr>
        <w:annotationRef/>
      </w:r>
      <w:r w:rsidR="004C56D3" w:rsidRPr="00DE692F">
        <w:t xml:space="preserve">Se explicó. </w:t>
      </w:r>
    </w:p>
  </w:comment>
  <w:comment w:id="20" w:author="Alison Hospina" w:date="2026-02-05T13:59:00Z" w:initials="AH">
    <w:p w14:paraId="3312E23B" w14:textId="2476300F" w:rsidR="00643B78" w:rsidRPr="00DE692F" w:rsidRDefault="00643B78" w:rsidP="00643B78">
      <w:pPr>
        <w:jc w:val="left"/>
      </w:pPr>
      <w:r w:rsidRPr="00DE692F">
        <w:rPr>
          <w:rStyle w:val="Refdecomentario"/>
        </w:rPr>
        <w:annotationRef/>
      </w:r>
      <w:r w:rsidRPr="00DE692F">
        <w:rPr>
          <w:szCs w:val="20"/>
        </w:rPr>
        <w:t>No se han implementado medidas?</w:t>
      </w:r>
    </w:p>
  </w:comment>
  <w:comment w:id="21" w:author="José Martín Marquez Flores" w:date="2026-02-05T15:51:00Z" w:initials="JMMF">
    <w:p w14:paraId="4B7391DB" w14:textId="77777777" w:rsidR="00E4266E" w:rsidRPr="00DE692F" w:rsidRDefault="006739CE" w:rsidP="00E4266E">
      <w:pPr>
        <w:pStyle w:val="Textocomentario"/>
        <w:jc w:val="left"/>
      </w:pPr>
      <w:r w:rsidRPr="00DE692F">
        <w:rPr>
          <w:rStyle w:val="Refdecomentario"/>
        </w:rPr>
        <w:annotationRef/>
      </w:r>
      <w:r w:rsidR="00E4266E" w:rsidRPr="00DE692F">
        <w:t xml:space="preserve">Se colocó. </w:t>
      </w:r>
    </w:p>
  </w:comment>
  <w:comment w:id="22" w:author="Alison Hospina" w:date="2026-02-05T14:02:00Z" w:initials="AH">
    <w:p w14:paraId="249C3360" w14:textId="1EB12588" w:rsidR="00770E31" w:rsidRPr="00DE692F" w:rsidRDefault="00770E31" w:rsidP="00770E31">
      <w:pPr>
        <w:jc w:val="left"/>
      </w:pPr>
      <w:r w:rsidRPr="00DE692F">
        <w:rPr>
          <w:rStyle w:val="Refdecomentario"/>
        </w:rPr>
        <w:annotationRef/>
      </w:r>
      <w:r w:rsidRPr="00DE692F">
        <w:rPr>
          <w:szCs w:val="20"/>
        </w:rPr>
        <w:t xml:space="preserve">¿qué se ha hecho con este cheklist, se ha difundido, se utiliza en las capacitaciones, etc? Explicar mejor cómo esta acción contribuye a mitigar el riesgo. </w:t>
      </w:r>
    </w:p>
  </w:comment>
  <w:comment w:id="23" w:author="José Martín Marquez Flores" w:date="2026-02-05T15:51:00Z" w:initials="JMMF">
    <w:p w14:paraId="3501AAA0" w14:textId="77777777" w:rsidR="00CA6FED" w:rsidRPr="00DE692F" w:rsidRDefault="006739CE" w:rsidP="00CA6FED">
      <w:pPr>
        <w:pStyle w:val="Textocomentario"/>
        <w:jc w:val="left"/>
      </w:pPr>
      <w:r w:rsidRPr="00DE692F">
        <w:rPr>
          <w:rStyle w:val="Refdecomentario"/>
        </w:rPr>
        <w:annotationRef/>
      </w:r>
      <w:r w:rsidR="00CA6FED" w:rsidRPr="00DE692F">
        <w:t xml:space="preserve">Se precisó. </w:t>
      </w:r>
    </w:p>
  </w:comment>
  <w:comment w:id="24" w:author="Alison Hospina" w:date="2026-02-05T14:02:00Z" w:initials="AH">
    <w:p w14:paraId="62B73E30" w14:textId="66B753E5" w:rsidR="003935C4" w:rsidRPr="00DE692F" w:rsidRDefault="003935C4" w:rsidP="003935C4">
      <w:pPr>
        <w:jc w:val="left"/>
      </w:pPr>
      <w:r w:rsidRPr="00DE692F">
        <w:rPr>
          <w:rStyle w:val="Refdecomentario"/>
        </w:rPr>
        <w:annotationRef/>
      </w:r>
      <w:r w:rsidRPr="00DE692F">
        <w:rPr>
          <w:szCs w:val="20"/>
        </w:rPr>
        <w:t>¿no hay medidas?</w:t>
      </w:r>
    </w:p>
  </w:comment>
  <w:comment w:id="25" w:author="Claudia Karina Santos Galindo" w:date="2026-02-17T17:28:00Z" w:initials="CKSG">
    <w:p w14:paraId="339441B4" w14:textId="77777777" w:rsidR="00816002" w:rsidRDefault="00816002" w:rsidP="00816002">
      <w:pPr>
        <w:pStyle w:val="Textocomentario"/>
        <w:jc w:val="left"/>
      </w:pPr>
      <w:r>
        <w:rPr>
          <w:rStyle w:val="Refdecomentario"/>
        </w:rPr>
        <w:annotationRef/>
      </w:r>
      <w:r>
        <w:t>Se incorporaron las medidas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365241" w15:done="0"/>
  <w15:commentEx w15:paraId="071BCB57" w15:paraIdParent="00365241" w15:done="0"/>
  <w15:commentEx w15:paraId="3F488114" w15:done="0"/>
  <w15:commentEx w15:paraId="2402EC53" w15:paraIdParent="3F488114" w15:done="0"/>
  <w15:commentEx w15:paraId="105C34C0" w15:done="0"/>
  <w15:commentEx w15:paraId="78F7D67D" w15:paraIdParent="105C34C0" w15:done="0"/>
  <w15:commentEx w15:paraId="37D30E6F" w15:done="0"/>
  <w15:commentEx w15:paraId="07314F6F" w15:paraIdParent="37D30E6F" w15:done="0"/>
  <w15:commentEx w15:paraId="7542AB68" w15:done="0"/>
  <w15:commentEx w15:paraId="2DA6CC33" w15:paraIdParent="7542AB68" w15:done="0"/>
  <w15:commentEx w15:paraId="08259BB3" w15:done="0"/>
  <w15:commentEx w15:paraId="4D6D1B1D" w15:paraIdParent="08259BB3" w15:done="0"/>
  <w15:commentEx w15:paraId="400F5C08" w15:done="0"/>
  <w15:commentEx w15:paraId="5010BEE7" w15:paraIdParent="400F5C08" w15:done="0"/>
  <w15:commentEx w15:paraId="3CFF508F" w15:done="0"/>
  <w15:commentEx w15:paraId="7D3CACBD" w15:paraIdParent="3CFF508F" w15:done="0"/>
  <w15:commentEx w15:paraId="1B6715BA" w15:done="0"/>
  <w15:commentEx w15:paraId="49D9FD0E" w15:paraIdParent="1B6715BA" w15:done="0"/>
  <w15:commentEx w15:paraId="5737463C" w15:done="0"/>
  <w15:commentEx w15:paraId="5A3E6FEB" w15:paraIdParent="5737463C" w15:done="0"/>
  <w15:commentEx w15:paraId="3312E23B" w15:done="0"/>
  <w15:commentEx w15:paraId="4B7391DB" w15:paraIdParent="3312E23B" w15:done="0"/>
  <w15:commentEx w15:paraId="249C3360" w15:done="0"/>
  <w15:commentEx w15:paraId="3501AAA0" w15:paraIdParent="249C3360" w15:done="0"/>
  <w15:commentEx w15:paraId="62B73E30" w15:done="0"/>
  <w15:commentEx w15:paraId="339441B4" w15:paraIdParent="62B73E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A6F007" w16cex:dateUtc="2026-02-05T18:47:00Z"/>
  <w16cex:commentExtensible w16cex:durableId="70EFE5E4" w16cex:dateUtc="2026-02-05T20:51:00Z"/>
  <w16cex:commentExtensible w16cex:durableId="21AB435A" w16cex:dateUtc="2026-02-05T18:49:00Z"/>
  <w16cex:commentExtensible w16cex:durableId="4E0184DE" w16cex:dateUtc="2026-02-05T20:51:00Z"/>
  <w16cex:commentExtensible w16cex:durableId="362AF634" w16cex:dateUtc="2026-02-05T18:50:00Z"/>
  <w16cex:commentExtensible w16cex:durableId="05100FBA" w16cex:dateUtc="2026-02-05T20:51:00Z"/>
  <w16cex:commentExtensible w16cex:durableId="0D5DE4A2" w16cex:dateUtc="2026-02-05T18:52:00Z"/>
  <w16cex:commentExtensible w16cex:durableId="7153EA25" w16cex:dateUtc="2026-02-05T20:51:00Z"/>
  <w16cex:commentExtensible w16cex:durableId="4FBEAF26" w16cex:dateUtc="2026-02-05T18:53:00Z"/>
  <w16cex:commentExtensible w16cex:durableId="7F593CA4" w16cex:dateUtc="2026-02-05T20:51:00Z"/>
  <w16cex:commentExtensible w16cex:durableId="662B62C9" w16cex:dateUtc="2026-02-05T18:54:00Z"/>
  <w16cex:commentExtensible w16cex:durableId="67E1D58A" w16cex:dateUtc="2026-02-17T22:58:00Z"/>
  <w16cex:commentExtensible w16cex:durableId="0809BEDD" w16cex:dateUtc="2026-02-05T18:56:00Z"/>
  <w16cex:commentExtensible w16cex:durableId="07F6211C" w16cex:dateUtc="2026-02-17T23:03:00Z"/>
  <w16cex:commentExtensible w16cex:durableId="0CCD3BE4" w16cex:dateUtc="2026-02-05T18:57:00Z"/>
  <w16cex:commentExtensible w16cex:durableId="34AB4770" w16cex:dateUtc="2026-02-05T20:51:00Z"/>
  <w16cex:commentExtensible w16cex:durableId="29AA79A6" w16cex:dateUtc="2026-02-05T18:58:00Z"/>
  <w16cex:commentExtensible w16cex:durableId="09B063BF" w16cex:dateUtc="2026-02-05T20:51:00Z"/>
  <w16cex:commentExtensible w16cex:durableId="0E20CF64" w16cex:dateUtc="2026-02-05T18:58:00Z"/>
  <w16cex:commentExtensible w16cex:durableId="3DB2E55E" w16cex:dateUtc="2026-02-05T20:51:00Z"/>
  <w16cex:commentExtensible w16cex:durableId="0762426D" w16cex:dateUtc="2026-02-05T18:59:00Z"/>
  <w16cex:commentExtensible w16cex:durableId="540E5729" w16cex:dateUtc="2026-02-05T20:51:00Z"/>
  <w16cex:commentExtensible w16cex:durableId="30793276" w16cex:dateUtc="2026-02-05T19:02:00Z"/>
  <w16cex:commentExtensible w16cex:durableId="7D28DB2A" w16cex:dateUtc="2026-02-05T20:51:00Z"/>
  <w16cex:commentExtensible w16cex:durableId="4F927C9D" w16cex:dateUtc="2026-02-05T19:02:00Z"/>
  <w16cex:commentExtensible w16cex:durableId="4C05F990" w16cex:dateUtc="2026-02-17T2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365241" w16cid:durableId="2BA6F007"/>
  <w16cid:commentId w16cid:paraId="071BCB57" w16cid:durableId="70EFE5E4"/>
  <w16cid:commentId w16cid:paraId="3F488114" w16cid:durableId="21AB435A"/>
  <w16cid:commentId w16cid:paraId="2402EC53" w16cid:durableId="4E0184DE"/>
  <w16cid:commentId w16cid:paraId="105C34C0" w16cid:durableId="362AF634"/>
  <w16cid:commentId w16cid:paraId="78F7D67D" w16cid:durableId="05100FBA"/>
  <w16cid:commentId w16cid:paraId="37D30E6F" w16cid:durableId="0D5DE4A2"/>
  <w16cid:commentId w16cid:paraId="07314F6F" w16cid:durableId="7153EA25"/>
  <w16cid:commentId w16cid:paraId="7542AB68" w16cid:durableId="4FBEAF26"/>
  <w16cid:commentId w16cid:paraId="2DA6CC33" w16cid:durableId="7F593CA4"/>
  <w16cid:commentId w16cid:paraId="08259BB3" w16cid:durableId="662B62C9"/>
  <w16cid:commentId w16cid:paraId="4D6D1B1D" w16cid:durableId="67E1D58A"/>
  <w16cid:commentId w16cid:paraId="400F5C08" w16cid:durableId="0809BEDD"/>
  <w16cid:commentId w16cid:paraId="5010BEE7" w16cid:durableId="07F6211C"/>
  <w16cid:commentId w16cid:paraId="3CFF508F" w16cid:durableId="0CCD3BE4"/>
  <w16cid:commentId w16cid:paraId="7D3CACBD" w16cid:durableId="34AB4770"/>
  <w16cid:commentId w16cid:paraId="1B6715BA" w16cid:durableId="29AA79A6"/>
  <w16cid:commentId w16cid:paraId="49D9FD0E" w16cid:durableId="09B063BF"/>
  <w16cid:commentId w16cid:paraId="5737463C" w16cid:durableId="0E20CF64"/>
  <w16cid:commentId w16cid:paraId="5A3E6FEB" w16cid:durableId="3DB2E55E"/>
  <w16cid:commentId w16cid:paraId="3312E23B" w16cid:durableId="0762426D"/>
  <w16cid:commentId w16cid:paraId="4B7391DB" w16cid:durableId="540E5729"/>
  <w16cid:commentId w16cid:paraId="249C3360" w16cid:durableId="30793276"/>
  <w16cid:commentId w16cid:paraId="3501AAA0" w16cid:durableId="7D28DB2A"/>
  <w16cid:commentId w16cid:paraId="62B73E30" w16cid:durableId="4F927C9D"/>
  <w16cid:commentId w16cid:paraId="339441B4" w16cid:durableId="4C05F9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DB19" w14:textId="77777777" w:rsidR="00604355" w:rsidRPr="00DE692F" w:rsidRDefault="00604355">
      <w:r w:rsidRPr="00DE692F">
        <w:separator/>
      </w:r>
    </w:p>
  </w:endnote>
  <w:endnote w:type="continuationSeparator" w:id="0">
    <w:p w14:paraId="5C3E8D37" w14:textId="77777777" w:rsidR="00604355" w:rsidRPr="00DE692F" w:rsidRDefault="00604355">
      <w:r w:rsidRPr="00DE692F">
        <w:continuationSeparator/>
      </w:r>
    </w:p>
  </w:endnote>
  <w:endnote w:type="continuationNotice" w:id="1">
    <w:p w14:paraId="61A357E4" w14:textId="77777777" w:rsidR="00604355" w:rsidRPr="00DE692F" w:rsidRDefault="006043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710737"/>
      <w:docPartObj>
        <w:docPartGallery w:val="Page Numbers (Bottom of Page)"/>
        <w:docPartUnique/>
      </w:docPartObj>
    </w:sdtPr>
    <w:sdtContent>
      <w:p w14:paraId="2BC8E2E8" w14:textId="56210014" w:rsidR="00CE4B3F" w:rsidRPr="00DE692F" w:rsidRDefault="00CE4B3F">
        <w:pPr>
          <w:pStyle w:val="Piedepgina"/>
          <w:jc w:val="right"/>
        </w:pPr>
        <w:r w:rsidRPr="00DE692F">
          <w:fldChar w:fldCharType="begin"/>
        </w:r>
        <w:r w:rsidRPr="00DE692F">
          <w:instrText>PAGE   \* MERGEFORMAT</w:instrText>
        </w:r>
        <w:r w:rsidRPr="00DE692F">
          <w:fldChar w:fldCharType="separate"/>
        </w:r>
        <w:r w:rsidRPr="00DE692F">
          <w:t>2</w:t>
        </w:r>
        <w:r w:rsidRPr="00DE692F">
          <w:fldChar w:fldCharType="end"/>
        </w:r>
      </w:p>
    </w:sdtContent>
  </w:sdt>
  <w:p w14:paraId="01EE7905" w14:textId="77777777" w:rsidR="00CE4B3F" w:rsidRPr="00DE692F" w:rsidRDefault="00CE4B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E89" w14:textId="4C1B93CF" w:rsidR="00B92A3B" w:rsidRPr="00DE692F" w:rsidRDefault="00B92A3B">
    <w:pPr>
      <w:pStyle w:val="Piedepgina"/>
      <w:jc w:val="right"/>
    </w:pPr>
    <w:r w:rsidRPr="00DE692F">
      <w:fldChar w:fldCharType="begin"/>
    </w:r>
    <w:r w:rsidRPr="00DE692F">
      <w:instrText xml:space="preserve"> PAGE   \* MERGEFORMAT </w:instrText>
    </w:r>
    <w:r w:rsidRPr="00DE692F">
      <w:fldChar w:fldCharType="separate"/>
    </w:r>
    <w:r w:rsidRPr="00DE692F">
      <w:t>2</w:t>
    </w:r>
    <w:r w:rsidRPr="00DE692F">
      <w:fldChar w:fldCharType="end"/>
    </w:r>
  </w:p>
  <w:p w14:paraId="5AE1FF6D" w14:textId="77777777" w:rsidR="00B92A3B" w:rsidRPr="00DE692F" w:rsidRDefault="00B92A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7645" w14:textId="77777777" w:rsidR="00604355" w:rsidRPr="00DE692F" w:rsidRDefault="00604355">
      <w:r w:rsidRPr="00DE692F">
        <w:separator/>
      </w:r>
    </w:p>
  </w:footnote>
  <w:footnote w:type="continuationSeparator" w:id="0">
    <w:p w14:paraId="1F458189" w14:textId="77777777" w:rsidR="00604355" w:rsidRPr="00DE692F" w:rsidRDefault="00604355">
      <w:r w:rsidRPr="00DE692F">
        <w:continuationSeparator/>
      </w:r>
    </w:p>
  </w:footnote>
  <w:footnote w:type="continuationNotice" w:id="1">
    <w:p w14:paraId="060F88A5" w14:textId="77777777" w:rsidR="00604355" w:rsidRPr="00DE692F" w:rsidRDefault="00604355">
      <w:pPr>
        <w:spacing w:after="0"/>
      </w:pPr>
    </w:p>
  </w:footnote>
  <w:footnote w:id="2">
    <w:p w14:paraId="19522DCD" w14:textId="50E4B335" w:rsidR="00175B94" w:rsidRPr="00DE692F" w:rsidRDefault="00175B94">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Adaptar el cuadro según el marco de resultados del proyecto. </w:t>
      </w:r>
      <w:r w:rsidRPr="00DE692F">
        <w:rPr>
          <w:rFonts w:asciiTheme="minorHAnsi" w:eastAsia="Arial" w:hAnsiTheme="minorHAnsi" w:cstheme="minorHAnsi"/>
          <w:sz w:val="16"/>
          <w:szCs w:val="16"/>
          <w:lang w:val="es-PE"/>
        </w:rPr>
        <w:t>Adicione componentes y/o resultados según corresponda.</w:t>
      </w:r>
      <w:r w:rsidRPr="00DE692F">
        <w:rPr>
          <w:rFonts w:asciiTheme="minorHAnsi" w:hAnsiTheme="minorHAnsi" w:cstheme="minorHAnsi"/>
          <w:sz w:val="16"/>
          <w:szCs w:val="16"/>
          <w:lang w:val="es-PE"/>
        </w:rPr>
        <w:t xml:space="preserve"> </w:t>
      </w:r>
    </w:p>
  </w:footnote>
  <w:footnote w:id="3">
    <w:p w14:paraId="0C6E0DBB" w14:textId="3A840F77" w:rsidR="00175B94" w:rsidRPr="00DE692F" w:rsidRDefault="00175B94">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Colocar meta anual, de medio término o final según esté establecido en su marco de resultados del proyecto.</w:t>
      </w:r>
    </w:p>
  </w:footnote>
  <w:footnote w:id="4">
    <w:p w14:paraId="2499094E" w14:textId="77777777" w:rsidR="00175B94" w:rsidRPr="00DE692F" w:rsidRDefault="00175B94">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Colocar meta anual, de medio término o final según esté establecido en su marco de resultados del proyecto.</w:t>
      </w:r>
    </w:p>
  </w:footnote>
  <w:footnote w:id="5">
    <w:p w14:paraId="32760323" w14:textId="7C66D241" w:rsidR="008B0777" w:rsidRPr="008B0777" w:rsidRDefault="008B0777">
      <w:pPr>
        <w:pStyle w:val="Textonotapie"/>
        <w:rPr>
          <w:lang w:val="es-ES"/>
        </w:rPr>
      </w:pPr>
      <w:r>
        <w:rPr>
          <w:rStyle w:val="Refdenotaalpie"/>
        </w:rPr>
        <w:footnoteRef/>
      </w:r>
      <w:r w:rsidRPr="00BA7629">
        <w:rPr>
          <w:lang w:val="es-PE"/>
        </w:rPr>
        <w:t xml:space="preserve"> </w:t>
      </w:r>
      <w:r w:rsidRPr="005E1572">
        <w:rPr>
          <w:rFonts w:asciiTheme="minorHAnsi" w:hAnsiTheme="minorHAnsi" w:cstheme="minorHAnsi"/>
          <w:sz w:val="16"/>
          <w:szCs w:val="16"/>
          <w:lang w:val="es-PE"/>
        </w:rPr>
        <w:t xml:space="preserve">Corresponde a los </w:t>
      </w:r>
      <w:r w:rsidR="005E1572" w:rsidRPr="005E1572">
        <w:rPr>
          <w:rFonts w:asciiTheme="minorHAnsi" w:hAnsiTheme="minorHAnsi" w:cstheme="minorHAnsi"/>
          <w:sz w:val="16"/>
          <w:szCs w:val="16"/>
          <w:lang w:val="es-PE"/>
        </w:rPr>
        <w:t xml:space="preserve">productores y productoras que han recibido las </w:t>
      </w:r>
      <w:r w:rsidRPr="005E1572">
        <w:rPr>
          <w:rFonts w:asciiTheme="minorHAnsi" w:hAnsiTheme="minorHAnsi" w:cstheme="minorHAnsi"/>
          <w:sz w:val="16"/>
          <w:szCs w:val="16"/>
          <w:lang w:val="es-PE"/>
        </w:rPr>
        <w:t xml:space="preserve">capacitaciones realizadas desde el inicio del Proyecto, </w:t>
      </w:r>
      <w:r w:rsidR="005E1572" w:rsidRPr="005E1572">
        <w:rPr>
          <w:rFonts w:asciiTheme="minorHAnsi" w:hAnsiTheme="minorHAnsi" w:cstheme="minorHAnsi"/>
          <w:sz w:val="16"/>
          <w:szCs w:val="16"/>
          <w:lang w:val="es-PE"/>
        </w:rPr>
        <w:t>como el Programa de Lideresas. También incluye a los productores beneficiados mediante los CUSAF y el levantamiento de polígonos.</w:t>
      </w:r>
    </w:p>
  </w:footnote>
  <w:footnote w:id="6">
    <w:p w14:paraId="7E3703DD" w14:textId="77777777" w:rsidR="009B1DCD" w:rsidRPr="00DE692F" w:rsidRDefault="009B1DCD" w:rsidP="009A60B5">
      <w:pPr>
        <w:pStyle w:val="Textonotapie"/>
        <w:rPr>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Para ambos subindicadores 3.1 y 3.2, las hectáreas señaladas en las metas de EMT y EF, son hectáreas en proceso de restauración, de acuerdo a las directrices sobre indicadores básicos y subindicadores del GEF.</w:t>
      </w:r>
    </w:p>
  </w:footnote>
  <w:footnote w:id="7">
    <w:p w14:paraId="7938119B" w14:textId="77777777" w:rsidR="009B1DCD" w:rsidRPr="00DE692F" w:rsidRDefault="009B1DCD" w:rsidP="0008368C">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w:t>
      </w:r>
      <w:r w:rsidRPr="00DE692F">
        <w:rPr>
          <w:rFonts w:asciiTheme="minorHAnsi" w:hAnsiTheme="minorHAnsi" w:cstheme="minorHAnsi"/>
          <w:color w:val="000000"/>
          <w:sz w:val="16"/>
          <w:szCs w:val="16"/>
          <w:lang w:val="es-PE"/>
        </w:rPr>
        <w:t>Incluye acciones sistémicas, entendidas como aquellas que trabajan en condiciones habilitantes para la restauración y/o conservación, como planes de manejo, financiamiento y capacitación.</w:t>
      </w:r>
    </w:p>
  </w:footnote>
  <w:footnote w:id="8">
    <w:p w14:paraId="77085274" w14:textId="77777777" w:rsidR="009B1DCD" w:rsidRPr="00DE692F" w:rsidRDefault="009B1DCD" w:rsidP="0008368C">
      <w:pPr>
        <w:pStyle w:val="Textonotapie"/>
        <w:rPr>
          <w:rFonts w:asciiTheme="minorHAnsi" w:hAnsiTheme="minorHAnsi" w:cstheme="minorHAnsi"/>
          <w:color w:val="FF0000"/>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Este indicador incluye al sub indicador GEF 3.1 Área de tierra agrícolas degradadas y 3.2 Área de bosques y tierras forestales restauradas.</w:t>
      </w:r>
    </w:p>
  </w:footnote>
  <w:footnote w:id="9">
    <w:p w14:paraId="155022C1" w14:textId="77777777" w:rsidR="009B1DCD" w:rsidRPr="00DE692F" w:rsidRDefault="009B1DCD" w:rsidP="0008368C">
      <w:pPr>
        <w:pStyle w:val="Textonotapie"/>
        <w:rPr>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Incluye al indicador GEF 4, con el subindicador 4.4.</w:t>
      </w:r>
    </w:p>
  </w:footnote>
  <w:footnote w:id="10">
    <w:p w14:paraId="4DC9306D" w14:textId="02800151" w:rsidR="00304F38" w:rsidRPr="00304F38" w:rsidRDefault="00304F38">
      <w:pPr>
        <w:pStyle w:val="Textonotapie"/>
        <w:rPr>
          <w:lang w:val="es-ES"/>
        </w:rPr>
      </w:pPr>
      <w:r>
        <w:rPr>
          <w:rStyle w:val="Refdenotaalpie"/>
        </w:rPr>
        <w:footnoteRef/>
      </w:r>
      <w:r w:rsidRPr="00BA7629">
        <w:rPr>
          <w:lang w:val="es-PE"/>
        </w:rPr>
        <w:t xml:space="preserve"> </w:t>
      </w:r>
      <w:r w:rsidRPr="00304F38">
        <w:rPr>
          <w:rFonts w:asciiTheme="minorHAnsi" w:hAnsiTheme="minorHAnsi" w:cstheme="minorHAnsi"/>
          <w:sz w:val="16"/>
          <w:szCs w:val="16"/>
          <w:lang w:val="es-PE"/>
        </w:rPr>
        <w:t>La meta final considera la implementación de dos (2) estrategias (100%). Durante el 2025, se avanzó 25% en la implementación de cada una (se estiman acciones similares hasta el 2028, es decir 4 años que completan el 100%). Dado que ambas estrategias tienen igual ponderación (50% cada una), el avance acumulado equivale al 25% de la meta total.</w:t>
      </w:r>
    </w:p>
  </w:footnote>
  <w:footnote w:id="11">
    <w:p w14:paraId="11DD6132" w14:textId="31F21326" w:rsidR="00C33906" w:rsidRPr="00DE692F" w:rsidRDefault="00CB4FB5" w:rsidP="009B1DCD">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w:t>
      </w:r>
      <w:r w:rsidR="00EC5372" w:rsidRPr="00DE692F">
        <w:rPr>
          <w:rFonts w:asciiTheme="minorHAnsi" w:hAnsiTheme="minorHAnsi" w:cstheme="minorHAnsi"/>
          <w:sz w:val="16"/>
          <w:szCs w:val="16"/>
          <w:lang w:val="es-PE"/>
        </w:rPr>
        <w:t>Si el proyecto tiene metas anuales</w:t>
      </w:r>
      <w:r w:rsidR="003427CC" w:rsidRPr="00DE692F">
        <w:rPr>
          <w:rFonts w:asciiTheme="minorHAnsi" w:hAnsiTheme="minorHAnsi" w:cstheme="minorHAnsi"/>
          <w:sz w:val="16"/>
          <w:szCs w:val="16"/>
          <w:lang w:val="es-PE"/>
        </w:rPr>
        <w:t xml:space="preserve">: Completar la columna </w:t>
      </w:r>
      <w:r w:rsidR="003427CC" w:rsidRPr="00DE692F">
        <w:rPr>
          <w:rFonts w:asciiTheme="minorHAnsi" w:hAnsiTheme="minorHAnsi" w:cstheme="minorHAnsi"/>
          <w:b/>
          <w:bCs/>
          <w:sz w:val="16"/>
          <w:szCs w:val="16"/>
          <w:lang w:val="es-PE"/>
        </w:rPr>
        <w:t>%</w:t>
      </w:r>
      <w:r w:rsidR="000003CF" w:rsidRPr="00DE692F">
        <w:rPr>
          <w:rFonts w:asciiTheme="minorHAnsi" w:hAnsiTheme="minorHAnsi" w:cstheme="minorHAnsi"/>
          <w:b/>
          <w:bCs/>
          <w:sz w:val="16"/>
          <w:szCs w:val="16"/>
          <w:lang w:val="es-PE"/>
        </w:rPr>
        <w:t>Avance (</w:t>
      </w:r>
      <w:r w:rsidR="003427CC" w:rsidRPr="00DE692F">
        <w:rPr>
          <w:rFonts w:asciiTheme="minorHAnsi" w:hAnsiTheme="minorHAnsi" w:cstheme="minorHAnsi"/>
          <w:b/>
          <w:bCs/>
          <w:sz w:val="16"/>
          <w:szCs w:val="16"/>
          <w:lang w:val="es-PE"/>
        </w:rPr>
        <w:t>B/</w:t>
      </w:r>
      <w:r w:rsidR="000003CF" w:rsidRPr="00DE692F">
        <w:rPr>
          <w:rFonts w:asciiTheme="minorHAnsi" w:hAnsiTheme="minorHAnsi" w:cstheme="minorHAnsi"/>
          <w:b/>
          <w:bCs/>
          <w:sz w:val="16"/>
          <w:szCs w:val="16"/>
          <w:lang w:val="es-PE"/>
        </w:rPr>
        <w:t>A*</w:t>
      </w:r>
      <w:r w:rsidR="003427CC" w:rsidRPr="00DE692F">
        <w:rPr>
          <w:rFonts w:asciiTheme="minorHAnsi" w:hAnsiTheme="minorHAnsi" w:cstheme="minorHAnsi"/>
          <w:b/>
          <w:bCs/>
          <w:sz w:val="16"/>
          <w:szCs w:val="16"/>
          <w:lang w:val="es-PE"/>
        </w:rPr>
        <w:t>100</w:t>
      </w:r>
      <w:r w:rsidR="004C190F" w:rsidRPr="00DE692F">
        <w:rPr>
          <w:rFonts w:asciiTheme="minorHAnsi" w:hAnsiTheme="minorHAnsi" w:cstheme="minorHAnsi"/>
          <w:b/>
          <w:bCs/>
          <w:sz w:val="16"/>
          <w:szCs w:val="16"/>
          <w:lang w:val="es-PE"/>
        </w:rPr>
        <w:t>)</w:t>
      </w:r>
      <w:r w:rsidR="003427CC" w:rsidRPr="00DE692F">
        <w:rPr>
          <w:rFonts w:asciiTheme="minorHAnsi" w:hAnsiTheme="minorHAnsi" w:cstheme="minorHAnsi"/>
          <w:b/>
          <w:bCs/>
          <w:sz w:val="16"/>
          <w:szCs w:val="16"/>
          <w:lang w:val="es-PE"/>
        </w:rPr>
        <w:t xml:space="preserve"> </w:t>
      </w:r>
      <w:r w:rsidR="000003CF" w:rsidRPr="00DE692F">
        <w:rPr>
          <w:rFonts w:asciiTheme="minorHAnsi" w:hAnsiTheme="minorHAnsi" w:cstheme="minorHAnsi"/>
          <w:sz w:val="16"/>
          <w:szCs w:val="16"/>
          <w:lang w:val="es-PE"/>
        </w:rPr>
        <w:t xml:space="preserve">y </w:t>
      </w:r>
      <w:r w:rsidR="000003CF" w:rsidRPr="00DE692F">
        <w:rPr>
          <w:rFonts w:asciiTheme="minorHAnsi" w:hAnsiTheme="minorHAnsi" w:cstheme="minorHAnsi"/>
          <w:b/>
          <w:bCs/>
          <w:sz w:val="16"/>
          <w:szCs w:val="16"/>
          <w:lang w:val="es-PE"/>
        </w:rPr>
        <w:t>%Avance del proceso</w:t>
      </w:r>
      <w:r w:rsidR="000003CF" w:rsidRPr="00DE692F">
        <w:rPr>
          <w:rFonts w:asciiTheme="minorHAnsi" w:hAnsiTheme="minorHAnsi" w:cstheme="minorHAnsi"/>
          <w:sz w:val="16"/>
          <w:szCs w:val="16"/>
          <w:lang w:val="es-PE"/>
        </w:rPr>
        <w:t xml:space="preserve"> con la misma información.</w:t>
      </w:r>
    </w:p>
    <w:p w14:paraId="3D1993C5" w14:textId="77777777" w:rsidR="004C190F" w:rsidRPr="00DE692F" w:rsidRDefault="000003CF" w:rsidP="009B1DCD">
      <w:pPr>
        <w:pStyle w:val="Textonotapie"/>
        <w:rPr>
          <w:rFonts w:asciiTheme="minorHAnsi" w:hAnsiTheme="minorHAnsi" w:cstheme="minorHAnsi"/>
          <w:sz w:val="16"/>
          <w:szCs w:val="16"/>
          <w:lang w:val="es-PE"/>
        </w:rPr>
      </w:pPr>
      <w:r w:rsidRPr="00DE692F">
        <w:rPr>
          <w:rFonts w:asciiTheme="minorHAnsi" w:hAnsiTheme="minorHAnsi" w:cstheme="minorHAnsi"/>
          <w:sz w:val="16"/>
          <w:szCs w:val="16"/>
          <w:lang w:val="es-PE"/>
        </w:rPr>
        <w:t>Si el proyecto tiene</w:t>
      </w:r>
      <w:r w:rsidR="00332CEC" w:rsidRPr="00DE692F">
        <w:rPr>
          <w:rFonts w:asciiTheme="minorHAnsi" w:hAnsiTheme="minorHAnsi" w:cstheme="minorHAnsi"/>
          <w:sz w:val="16"/>
          <w:szCs w:val="16"/>
          <w:lang w:val="es-PE"/>
        </w:rPr>
        <w:t xml:space="preserve"> metas intermedias y/o fi</w:t>
      </w:r>
      <w:r w:rsidR="00F12DC0" w:rsidRPr="00DE692F">
        <w:rPr>
          <w:rFonts w:asciiTheme="minorHAnsi" w:hAnsiTheme="minorHAnsi" w:cstheme="minorHAnsi"/>
          <w:sz w:val="16"/>
          <w:szCs w:val="16"/>
          <w:lang w:val="es-PE"/>
        </w:rPr>
        <w:t>n</w:t>
      </w:r>
      <w:r w:rsidR="00332CEC" w:rsidRPr="00DE692F">
        <w:rPr>
          <w:rFonts w:asciiTheme="minorHAnsi" w:hAnsiTheme="minorHAnsi" w:cstheme="minorHAnsi"/>
          <w:sz w:val="16"/>
          <w:szCs w:val="16"/>
          <w:lang w:val="es-PE"/>
        </w:rPr>
        <w:t>a</w:t>
      </w:r>
      <w:r w:rsidR="00F12DC0" w:rsidRPr="00DE692F">
        <w:rPr>
          <w:rFonts w:asciiTheme="minorHAnsi" w:hAnsiTheme="minorHAnsi" w:cstheme="minorHAnsi"/>
          <w:sz w:val="16"/>
          <w:szCs w:val="16"/>
          <w:lang w:val="es-PE"/>
        </w:rPr>
        <w:t>l</w:t>
      </w:r>
      <w:r w:rsidR="00332CEC" w:rsidRPr="00DE692F">
        <w:rPr>
          <w:rFonts w:asciiTheme="minorHAnsi" w:hAnsiTheme="minorHAnsi" w:cstheme="minorHAnsi"/>
          <w:sz w:val="16"/>
          <w:szCs w:val="16"/>
          <w:lang w:val="es-PE"/>
        </w:rPr>
        <w:t>es q</w:t>
      </w:r>
      <w:r w:rsidR="00F12DC0" w:rsidRPr="00DE692F">
        <w:rPr>
          <w:rFonts w:asciiTheme="minorHAnsi" w:hAnsiTheme="minorHAnsi" w:cstheme="minorHAnsi"/>
          <w:sz w:val="16"/>
          <w:szCs w:val="16"/>
          <w:lang w:val="es-PE"/>
        </w:rPr>
        <w:t xml:space="preserve">ue </w:t>
      </w:r>
      <w:r w:rsidR="00D149FE" w:rsidRPr="00DE692F">
        <w:rPr>
          <w:rFonts w:asciiTheme="minorHAnsi" w:hAnsiTheme="minorHAnsi" w:cstheme="minorHAnsi"/>
          <w:sz w:val="16"/>
          <w:szCs w:val="16"/>
          <w:lang w:val="es-PE"/>
        </w:rPr>
        <w:t>se cumplen en su totalidad recién a la mitad de la vida del proyecto o en su último año, entonces</w:t>
      </w:r>
      <w:r w:rsidR="004C190F" w:rsidRPr="00DE692F">
        <w:rPr>
          <w:rFonts w:asciiTheme="minorHAnsi" w:hAnsiTheme="minorHAnsi" w:cstheme="minorHAnsi"/>
          <w:sz w:val="16"/>
          <w:szCs w:val="16"/>
          <w:lang w:val="es-PE"/>
        </w:rPr>
        <w:t>:</w:t>
      </w:r>
    </w:p>
    <w:p w14:paraId="238B9480" w14:textId="32C8348B" w:rsidR="000003CF" w:rsidRPr="00DE692F" w:rsidRDefault="004C190F" w:rsidP="009B1DCD">
      <w:pPr>
        <w:pStyle w:val="Textonotapie"/>
        <w:numPr>
          <w:ilvl w:val="0"/>
          <w:numId w:val="23"/>
        </w:numPr>
        <w:rPr>
          <w:rFonts w:asciiTheme="minorHAnsi" w:hAnsiTheme="minorHAnsi" w:cstheme="minorHAnsi"/>
          <w:sz w:val="16"/>
          <w:szCs w:val="16"/>
          <w:lang w:val="es-PE"/>
        </w:rPr>
      </w:pPr>
      <w:r w:rsidRPr="00DE692F">
        <w:rPr>
          <w:rFonts w:asciiTheme="minorHAnsi" w:hAnsiTheme="minorHAnsi" w:cstheme="minorHAnsi"/>
          <w:sz w:val="16"/>
          <w:szCs w:val="16"/>
          <w:lang w:val="es-PE"/>
        </w:rPr>
        <w:t>En la columna %Avance (B/A*100)</w:t>
      </w:r>
      <w:r w:rsidR="00332CEC" w:rsidRPr="00DE692F">
        <w:rPr>
          <w:rFonts w:asciiTheme="minorHAnsi" w:hAnsiTheme="minorHAnsi" w:cstheme="minorHAnsi"/>
          <w:sz w:val="16"/>
          <w:szCs w:val="16"/>
          <w:lang w:val="es-PE"/>
        </w:rPr>
        <w:t xml:space="preserve"> </w:t>
      </w:r>
      <w:r w:rsidR="008C0D3C" w:rsidRPr="00DE692F">
        <w:rPr>
          <w:rFonts w:asciiTheme="minorHAnsi" w:hAnsiTheme="minorHAnsi" w:cstheme="minorHAnsi"/>
          <w:sz w:val="16"/>
          <w:szCs w:val="16"/>
          <w:lang w:val="es-PE"/>
        </w:rPr>
        <w:t>colocar la palabra “EN PROCESO”</w:t>
      </w:r>
    </w:p>
    <w:p w14:paraId="7CBD8C20" w14:textId="1BF98772" w:rsidR="00CB4FB5" w:rsidRPr="00DE692F" w:rsidRDefault="008C0D3C" w:rsidP="009B1DCD">
      <w:pPr>
        <w:pStyle w:val="Textonotapie"/>
        <w:numPr>
          <w:ilvl w:val="0"/>
          <w:numId w:val="23"/>
        </w:numPr>
        <w:rPr>
          <w:rFonts w:asciiTheme="minorHAnsi" w:hAnsiTheme="minorHAnsi" w:cstheme="minorHAnsi"/>
          <w:sz w:val="16"/>
          <w:szCs w:val="16"/>
          <w:lang w:val="es-PE"/>
        </w:rPr>
      </w:pPr>
      <w:r w:rsidRPr="00DE692F">
        <w:rPr>
          <w:rFonts w:asciiTheme="minorHAnsi" w:hAnsiTheme="minorHAnsi" w:cstheme="minorHAnsi"/>
          <w:sz w:val="16"/>
          <w:szCs w:val="16"/>
          <w:lang w:val="es-PE"/>
        </w:rPr>
        <w:t xml:space="preserve">En la columna %Avance del proceso colocar un porcentaje que refleje </w:t>
      </w:r>
      <w:r w:rsidR="00CA57ED" w:rsidRPr="00DE692F">
        <w:rPr>
          <w:rFonts w:asciiTheme="minorHAnsi" w:hAnsiTheme="minorHAnsi" w:cstheme="minorHAnsi"/>
          <w:sz w:val="16"/>
          <w:szCs w:val="16"/>
          <w:lang w:val="es-PE"/>
        </w:rPr>
        <w:t xml:space="preserve">el avance. Este porcentaje </w:t>
      </w:r>
      <w:r w:rsidR="00B757F0" w:rsidRPr="00DE692F">
        <w:rPr>
          <w:rFonts w:asciiTheme="minorHAnsi" w:hAnsiTheme="minorHAnsi" w:cstheme="minorHAnsi"/>
          <w:sz w:val="16"/>
          <w:szCs w:val="16"/>
          <w:lang w:val="es-PE"/>
        </w:rPr>
        <w:t xml:space="preserve">se calculará </w:t>
      </w:r>
      <w:r w:rsidR="001B1FEF" w:rsidRPr="00DE692F">
        <w:rPr>
          <w:rFonts w:asciiTheme="minorHAnsi" w:hAnsiTheme="minorHAnsi" w:cstheme="minorHAnsi"/>
          <w:sz w:val="16"/>
          <w:szCs w:val="16"/>
          <w:lang w:val="es-PE"/>
        </w:rPr>
        <w:t xml:space="preserve">bajo </w:t>
      </w:r>
      <w:r w:rsidR="00CA57ED" w:rsidRPr="00DE692F">
        <w:rPr>
          <w:rFonts w:asciiTheme="minorHAnsi" w:hAnsiTheme="minorHAnsi" w:cstheme="minorHAnsi"/>
          <w:sz w:val="16"/>
          <w:szCs w:val="16"/>
          <w:lang w:val="es-PE"/>
        </w:rPr>
        <w:t xml:space="preserve">una </w:t>
      </w:r>
      <w:r w:rsidR="001B1FEF" w:rsidRPr="00DE692F">
        <w:rPr>
          <w:rFonts w:asciiTheme="minorHAnsi" w:hAnsiTheme="minorHAnsi" w:cstheme="minorHAnsi"/>
          <w:sz w:val="16"/>
          <w:szCs w:val="16"/>
          <w:lang w:val="es-PE"/>
        </w:rPr>
        <w:t xml:space="preserve">metodología desarrollada por el </w:t>
      </w:r>
      <w:r w:rsidR="00CA57ED" w:rsidRPr="00DE692F">
        <w:rPr>
          <w:rFonts w:asciiTheme="minorHAnsi" w:hAnsiTheme="minorHAnsi" w:cstheme="minorHAnsi"/>
          <w:sz w:val="16"/>
          <w:szCs w:val="16"/>
          <w:lang w:val="es-PE"/>
        </w:rPr>
        <w:t xml:space="preserve">mismo </w:t>
      </w:r>
      <w:r w:rsidR="001B1FEF" w:rsidRPr="00DE692F">
        <w:rPr>
          <w:rFonts w:asciiTheme="minorHAnsi" w:hAnsiTheme="minorHAnsi" w:cstheme="minorHAnsi"/>
          <w:sz w:val="16"/>
          <w:szCs w:val="16"/>
          <w:lang w:val="es-PE"/>
        </w:rPr>
        <w:t>proyecto</w:t>
      </w:r>
      <w:r w:rsidR="00D22CA7" w:rsidRPr="00DE692F">
        <w:rPr>
          <w:rFonts w:asciiTheme="minorHAnsi" w:hAnsiTheme="minorHAnsi" w:cstheme="minorHAnsi"/>
          <w:sz w:val="16"/>
          <w:szCs w:val="16"/>
          <w:lang w:val="es-PE"/>
        </w:rPr>
        <w:t xml:space="preserve"> que refleje de manera proporcional el avance de los procesos que terminarán con el logro de la meta intermedi</w:t>
      </w:r>
      <w:r w:rsidR="00024EA7" w:rsidRPr="00DE692F">
        <w:rPr>
          <w:rFonts w:asciiTheme="minorHAnsi" w:hAnsiTheme="minorHAnsi" w:cstheme="minorHAnsi"/>
          <w:sz w:val="16"/>
          <w:szCs w:val="16"/>
          <w:lang w:val="es-PE"/>
        </w:rPr>
        <w:t>a</w:t>
      </w:r>
      <w:r w:rsidR="00D22CA7" w:rsidRPr="00DE692F">
        <w:rPr>
          <w:rFonts w:asciiTheme="minorHAnsi" w:hAnsiTheme="minorHAnsi" w:cstheme="minorHAnsi"/>
          <w:sz w:val="16"/>
          <w:szCs w:val="16"/>
          <w:lang w:val="es-PE"/>
        </w:rPr>
        <w:t>/final</w:t>
      </w:r>
      <w:r w:rsidR="00CA57ED" w:rsidRPr="00DE692F">
        <w:rPr>
          <w:rFonts w:asciiTheme="minorHAnsi" w:hAnsiTheme="minorHAnsi" w:cstheme="minorHAnsi"/>
          <w:sz w:val="16"/>
          <w:szCs w:val="16"/>
          <w:lang w:val="es-PE"/>
        </w:rPr>
        <w:t xml:space="preserve">. </w:t>
      </w:r>
      <w:r w:rsidR="00870F74" w:rsidRPr="00DE692F">
        <w:rPr>
          <w:rFonts w:asciiTheme="minorHAnsi" w:hAnsiTheme="minorHAnsi" w:cstheme="minorHAnsi"/>
          <w:sz w:val="16"/>
          <w:szCs w:val="16"/>
          <w:lang w:val="es-PE"/>
        </w:rPr>
        <w:t>L</w:t>
      </w:r>
      <w:r w:rsidR="00CA57ED" w:rsidRPr="00DE692F">
        <w:rPr>
          <w:rFonts w:asciiTheme="minorHAnsi" w:hAnsiTheme="minorHAnsi" w:cstheme="minorHAnsi"/>
          <w:sz w:val="16"/>
          <w:szCs w:val="16"/>
          <w:lang w:val="es-PE"/>
        </w:rPr>
        <w:t>a metodología de cálculo debe</w:t>
      </w:r>
      <w:r w:rsidR="00E40195" w:rsidRPr="00DE692F">
        <w:rPr>
          <w:rFonts w:asciiTheme="minorHAnsi" w:hAnsiTheme="minorHAnsi" w:cstheme="minorHAnsi"/>
          <w:sz w:val="16"/>
          <w:szCs w:val="16"/>
          <w:lang w:val="es-PE"/>
        </w:rPr>
        <w:t>rá</w:t>
      </w:r>
      <w:r w:rsidR="00CA57ED" w:rsidRPr="00DE692F">
        <w:rPr>
          <w:rFonts w:asciiTheme="minorHAnsi" w:hAnsiTheme="minorHAnsi" w:cstheme="minorHAnsi"/>
          <w:sz w:val="16"/>
          <w:szCs w:val="16"/>
          <w:lang w:val="es-PE"/>
        </w:rPr>
        <w:t xml:space="preserve"> estar </w:t>
      </w:r>
      <w:r w:rsidR="00E40195" w:rsidRPr="00DE692F">
        <w:rPr>
          <w:rFonts w:asciiTheme="minorHAnsi" w:hAnsiTheme="minorHAnsi" w:cstheme="minorHAnsi"/>
          <w:sz w:val="16"/>
          <w:szCs w:val="16"/>
          <w:lang w:val="es-PE"/>
        </w:rPr>
        <w:t>debidamente explicada</w:t>
      </w:r>
      <w:r w:rsidR="001B1FEF" w:rsidRPr="00DE692F">
        <w:rPr>
          <w:rFonts w:asciiTheme="minorHAnsi" w:hAnsiTheme="minorHAnsi" w:cstheme="minorHAnsi"/>
          <w:sz w:val="16"/>
          <w:szCs w:val="16"/>
          <w:lang w:val="es-PE"/>
        </w:rPr>
        <w:t xml:space="preserve"> como </w:t>
      </w:r>
      <w:r w:rsidR="00E40195" w:rsidRPr="00DE692F">
        <w:rPr>
          <w:rFonts w:asciiTheme="minorHAnsi" w:hAnsiTheme="minorHAnsi" w:cstheme="minorHAnsi"/>
          <w:sz w:val="16"/>
          <w:szCs w:val="16"/>
          <w:lang w:val="es-PE"/>
        </w:rPr>
        <w:t xml:space="preserve">pie de </w:t>
      </w:r>
      <w:r w:rsidR="001B1FEF" w:rsidRPr="00DE692F">
        <w:rPr>
          <w:rFonts w:asciiTheme="minorHAnsi" w:hAnsiTheme="minorHAnsi" w:cstheme="minorHAnsi"/>
          <w:sz w:val="16"/>
          <w:szCs w:val="16"/>
          <w:lang w:val="es-PE"/>
        </w:rPr>
        <w:t>págin</w:t>
      </w:r>
      <w:r w:rsidR="00400D59" w:rsidRPr="00DE692F">
        <w:rPr>
          <w:rFonts w:asciiTheme="minorHAnsi" w:hAnsiTheme="minorHAnsi" w:cstheme="minorHAnsi"/>
          <w:sz w:val="16"/>
          <w:szCs w:val="16"/>
          <w:lang w:val="es-PE"/>
        </w:rPr>
        <w:t>a</w:t>
      </w:r>
      <w:r w:rsidR="001B1FEF" w:rsidRPr="00DE692F">
        <w:rPr>
          <w:rFonts w:asciiTheme="minorHAnsi" w:hAnsiTheme="minorHAnsi" w:cstheme="minorHAnsi"/>
          <w:sz w:val="16"/>
          <w:szCs w:val="16"/>
          <w:lang w:val="es-PE"/>
        </w:rPr>
        <w:t>.</w:t>
      </w:r>
      <w:r w:rsidR="00400D59" w:rsidRPr="00DE692F">
        <w:rPr>
          <w:rFonts w:asciiTheme="minorHAnsi" w:hAnsiTheme="minorHAnsi" w:cstheme="minorHAnsi"/>
          <w:sz w:val="16"/>
          <w:szCs w:val="16"/>
          <w:lang w:val="es-PE"/>
        </w:rPr>
        <w:t xml:space="preserve"> Esta misma metodología de </w:t>
      </w:r>
      <w:r w:rsidR="00DB0C90" w:rsidRPr="00DE692F">
        <w:rPr>
          <w:rFonts w:asciiTheme="minorHAnsi" w:hAnsiTheme="minorHAnsi" w:cstheme="minorHAnsi"/>
          <w:sz w:val="16"/>
          <w:szCs w:val="16"/>
          <w:lang w:val="es-PE"/>
        </w:rPr>
        <w:t>cálculo</w:t>
      </w:r>
      <w:r w:rsidR="00400D59" w:rsidRPr="00DE692F">
        <w:rPr>
          <w:rFonts w:asciiTheme="minorHAnsi" w:hAnsiTheme="minorHAnsi" w:cstheme="minorHAnsi"/>
          <w:sz w:val="16"/>
          <w:szCs w:val="16"/>
          <w:lang w:val="es-PE"/>
        </w:rPr>
        <w:t xml:space="preserve"> deberá usarse todos los años de vida del proyecto.</w:t>
      </w:r>
    </w:p>
  </w:footnote>
  <w:footnote w:id="12">
    <w:p w14:paraId="11845E79" w14:textId="6FEBB968" w:rsidR="00DB0C90" w:rsidRDefault="00311AF1" w:rsidP="00311AF1">
      <w:pPr>
        <w:pStyle w:val="Textonotapie"/>
        <w:rPr>
          <w:rFonts w:asciiTheme="minorHAnsi" w:hAnsiTheme="minorHAnsi" w:cstheme="minorHAnsi"/>
          <w:sz w:val="16"/>
          <w:szCs w:val="16"/>
          <w:lang w:val="es-PE"/>
        </w:rPr>
      </w:pPr>
      <w:r w:rsidRPr="00DE692F">
        <w:rPr>
          <w:rStyle w:val="Refdenotaalpie"/>
          <w:lang w:val="es-PE"/>
        </w:rPr>
        <w:footnoteRef/>
      </w:r>
      <w:r w:rsidR="00DB0C90">
        <w:rPr>
          <w:lang w:val="es-PE"/>
        </w:rPr>
        <w:t xml:space="preserve"> </w:t>
      </w:r>
      <w:r w:rsidR="00DB0C90" w:rsidRPr="00DB0C90">
        <w:rPr>
          <w:rFonts w:asciiTheme="minorHAnsi" w:hAnsiTheme="minorHAnsi" w:cstheme="minorHAnsi"/>
          <w:sz w:val="16"/>
          <w:szCs w:val="16"/>
          <w:lang w:val="es-PE"/>
        </w:rPr>
        <w:t>El porcentaje de avance se calcula tomando la meta total del proyecto</w:t>
      </w:r>
      <w:r w:rsidR="00DB0C90">
        <w:rPr>
          <w:rFonts w:asciiTheme="minorHAnsi" w:hAnsiTheme="minorHAnsi" w:cstheme="minorHAnsi"/>
          <w:sz w:val="16"/>
          <w:szCs w:val="16"/>
          <w:lang w:val="es-PE"/>
        </w:rPr>
        <w:t xml:space="preserve"> (</w:t>
      </w:r>
      <w:r w:rsidR="00DB0C90" w:rsidRPr="00DB0C90">
        <w:rPr>
          <w:rFonts w:asciiTheme="minorHAnsi" w:hAnsiTheme="minorHAnsi" w:cstheme="minorHAnsi"/>
          <w:sz w:val="16"/>
          <w:szCs w:val="16"/>
          <w:lang w:val="es-PE"/>
        </w:rPr>
        <w:t>100%</w:t>
      </w:r>
      <w:r w:rsidR="00DB0C90">
        <w:rPr>
          <w:rFonts w:asciiTheme="minorHAnsi" w:hAnsiTheme="minorHAnsi" w:cstheme="minorHAnsi"/>
          <w:sz w:val="16"/>
          <w:szCs w:val="16"/>
          <w:lang w:val="es-PE"/>
        </w:rPr>
        <w:t>)</w:t>
      </w:r>
      <w:r w:rsidR="00DB0C90" w:rsidRPr="00DB0C90">
        <w:rPr>
          <w:rFonts w:asciiTheme="minorHAnsi" w:hAnsiTheme="minorHAnsi" w:cstheme="minorHAnsi"/>
          <w:sz w:val="16"/>
          <w:szCs w:val="16"/>
          <w:lang w:val="es-PE"/>
        </w:rPr>
        <w:t xml:space="preserve">, distribuida entre 10 PDT, por lo que cada PDT representa el 10% del total. </w:t>
      </w:r>
      <w:r w:rsidR="00DB0C90">
        <w:rPr>
          <w:rFonts w:asciiTheme="minorHAnsi" w:hAnsiTheme="minorHAnsi" w:cstheme="minorHAnsi"/>
          <w:sz w:val="16"/>
          <w:szCs w:val="16"/>
          <w:lang w:val="es-PE"/>
        </w:rPr>
        <w:t xml:space="preserve">Puesto que se tienen </w:t>
      </w:r>
      <w:r w:rsidR="00DB0C90" w:rsidRPr="00DB0C90">
        <w:rPr>
          <w:rFonts w:asciiTheme="minorHAnsi" w:hAnsiTheme="minorHAnsi" w:cstheme="minorHAnsi"/>
          <w:sz w:val="16"/>
          <w:szCs w:val="16"/>
          <w:lang w:val="es-PE"/>
        </w:rPr>
        <w:t>3 PDT con un avance individual del 10%</w:t>
      </w:r>
      <w:r w:rsidR="00DB0C90">
        <w:rPr>
          <w:rFonts w:asciiTheme="minorHAnsi" w:hAnsiTheme="minorHAnsi" w:cstheme="minorHAnsi"/>
          <w:sz w:val="16"/>
          <w:szCs w:val="16"/>
          <w:lang w:val="es-PE"/>
        </w:rPr>
        <w:t xml:space="preserve"> según el siguiente cuadro:</w:t>
      </w:r>
    </w:p>
    <w:p w14:paraId="49F63726" w14:textId="77777777" w:rsidR="0097745A" w:rsidRDefault="00DB0C90" w:rsidP="00311AF1">
      <w:pPr>
        <w:pStyle w:val="Textonotapie"/>
        <w:rPr>
          <w:rFonts w:asciiTheme="minorHAnsi" w:hAnsiTheme="minorHAnsi" w:cstheme="minorHAnsi"/>
          <w:sz w:val="16"/>
          <w:szCs w:val="16"/>
          <w:lang w:val="es-PE"/>
        </w:rPr>
      </w:pPr>
      <w:r>
        <w:rPr>
          <w:rFonts w:asciiTheme="minorHAnsi" w:hAnsiTheme="minorHAnsi" w:cstheme="minorHAnsi"/>
          <w:sz w:val="16"/>
          <w:szCs w:val="16"/>
          <w:lang w:val="es-PE"/>
        </w:rPr>
        <w:t xml:space="preserve">   </w:t>
      </w:r>
      <w:r w:rsidR="00311AF1" w:rsidRPr="00DE692F">
        <w:rPr>
          <w:noProof/>
          <w:lang w:val="es-PE"/>
        </w:rPr>
        <w:drawing>
          <wp:inline distT="0" distB="0" distL="0" distR="0" wp14:anchorId="7CB837A6" wp14:editId="62D14058">
            <wp:extent cx="2178657" cy="1734226"/>
            <wp:effectExtent l="0" t="0" r="0" b="0"/>
            <wp:docPr id="2715546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r="53444"/>
                    <a:stretch>
                      <a:fillRect/>
                    </a:stretch>
                  </pic:blipFill>
                  <pic:spPr bwMode="auto">
                    <a:xfrm>
                      <a:off x="0" y="0"/>
                      <a:ext cx="2201265" cy="1752222"/>
                    </a:xfrm>
                    <a:prstGeom prst="rect">
                      <a:avLst/>
                    </a:prstGeom>
                    <a:noFill/>
                    <a:ln>
                      <a:noFill/>
                    </a:ln>
                    <a:extLst>
                      <a:ext uri="{53640926-AAD7-44D8-BBD7-CCE9431645EC}">
                        <a14:shadowObscured xmlns:a14="http://schemas.microsoft.com/office/drawing/2010/main"/>
                      </a:ext>
                    </a:extLst>
                  </pic:spPr>
                </pic:pic>
              </a:graphicData>
            </a:graphic>
          </wp:inline>
        </w:drawing>
      </w:r>
    </w:p>
    <w:p w14:paraId="111B5A50" w14:textId="4658710F" w:rsidR="00DB0C90" w:rsidRPr="00DE692F" w:rsidRDefault="0097745A" w:rsidP="00311AF1">
      <w:pPr>
        <w:pStyle w:val="Textonotapie"/>
        <w:rPr>
          <w:lang w:val="es-PE"/>
        </w:rPr>
      </w:pPr>
      <w:r>
        <w:rPr>
          <w:rFonts w:asciiTheme="minorHAnsi" w:hAnsiTheme="minorHAnsi" w:cstheme="minorHAnsi"/>
          <w:sz w:val="16"/>
          <w:szCs w:val="16"/>
          <w:lang w:val="es-PE"/>
        </w:rPr>
        <w:t>P</w:t>
      </w:r>
      <w:r w:rsidR="00DB0C90" w:rsidRPr="00DB0C90">
        <w:rPr>
          <w:rFonts w:asciiTheme="minorHAnsi" w:hAnsiTheme="minorHAnsi" w:cstheme="minorHAnsi"/>
          <w:sz w:val="16"/>
          <w:szCs w:val="16"/>
          <w:lang w:val="es-PE"/>
        </w:rPr>
        <w:t>rimero se calcula el avance acumulado (3 × 10% = 30% de PDT). Luego, ese avance se convierte en porcentaje respecto a la meta global, considerando que un PDT equivale al 10% del total; por tanto, 30% de un PDT representa un 3% de avance del proyecto.</w:t>
      </w:r>
    </w:p>
  </w:footnote>
  <w:footnote w:id="13">
    <w:p w14:paraId="38BF161C" w14:textId="77777777" w:rsidR="003D0356" w:rsidRPr="00DE692F" w:rsidRDefault="003D0356" w:rsidP="003D0356">
      <w:pPr>
        <w:pStyle w:val="Textonotapie"/>
        <w:jc w:val="left"/>
        <w:rPr>
          <w:lang w:val="es-PE"/>
        </w:rPr>
      </w:pPr>
      <w:r w:rsidRPr="00DE692F">
        <w:rPr>
          <w:rStyle w:val="Refdenotaalpie"/>
          <w:lang w:val="es-PE"/>
        </w:rPr>
        <w:footnoteRef/>
      </w:r>
      <w:r>
        <w:rPr>
          <w:lang w:val="es-PE"/>
        </w:rPr>
        <w:t xml:space="preserve"> </w:t>
      </w:r>
      <w:r w:rsidRPr="006B61E3">
        <w:rPr>
          <w:rFonts w:asciiTheme="minorHAnsi" w:hAnsiTheme="minorHAnsi" w:cstheme="minorHAnsi"/>
          <w:sz w:val="16"/>
          <w:szCs w:val="16"/>
          <w:lang w:val="es-PE"/>
        </w:rPr>
        <w:t>La meta se mide en dos etapas, la primera sobre la elaboración de los PVPI con sus respectivos porcentajes de avance y la segunda sobre la implementación de los PVPI</w:t>
      </w:r>
      <w:r>
        <w:rPr>
          <w:rFonts w:asciiTheme="minorHAnsi" w:hAnsiTheme="minorHAnsi" w:cstheme="minorHAnsi"/>
          <w:sz w:val="16"/>
          <w:szCs w:val="16"/>
          <w:lang w:val="es-PE"/>
        </w:rPr>
        <w:t>. Los porcentajes establecidos para cada avance son:</w:t>
      </w:r>
      <w:r w:rsidRPr="00DE692F">
        <w:rPr>
          <w:noProof/>
          <w:lang w:val="es-PE"/>
        </w:rPr>
        <w:drawing>
          <wp:inline distT="0" distB="0" distL="0" distR="0" wp14:anchorId="15BFFDBA" wp14:editId="01757BFA">
            <wp:extent cx="2767054" cy="3251835"/>
            <wp:effectExtent l="0" t="0" r="0" b="0"/>
            <wp:docPr id="10315985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48731" b="17530"/>
                    <a:stretch>
                      <a:fillRect/>
                    </a:stretch>
                  </pic:blipFill>
                  <pic:spPr bwMode="auto">
                    <a:xfrm>
                      <a:off x="0" y="0"/>
                      <a:ext cx="2767266" cy="3252084"/>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14">
    <w:p w14:paraId="45D0CC18" w14:textId="13052346" w:rsidR="0030549F" w:rsidRPr="00DE692F" w:rsidRDefault="0030549F" w:rsidP="0030549F">
      <w:pPr>
        <w:pStyle w:val="Textonotapie"/>
        <w:jc w:val="left"/>
        <w:rPr>
          <w:lang w:val="es-PE"/>
        </w:rPr>
      </w:pPr>
      <w:r w:rsidRPr="00DE692F">
        <w:rPr>
          <w:rStyle w:val="Refdenotaalpie"/>
          <w:lang w:val="es-PE"/>
        </w:rPr>
        <w:footnoteRef/>
      </w:r>
      <w:r w:rsidRPr="00DE692F">
        <w:rPr>
          <w:lang w:val="es-PE"/>
        </w:rPr>
        <w:t xml:space="preserve"> </w:t>
      </w:r>
      <w:r w:rsidRPr="003D6F66">
        <w:rPr>
          <w:rFonts w:asciiTheme="minorHAnsi" w:hAnsiTheme="minorHAnsi" w:cstheme="minorHAnsi"/>
          <w:sz w:val="16"/>
          <w:szCs w:val="16"/>
          <w:lang w:val="es-PE"/>
        </w:rPr>
        <w:t>Número de presupuestos GIP y objetivos de sostenibilidad en la programación.</w:t>
      </w:r>
      <w:r>
        <w:rPr>
          <w:rFonts w:asciiTheme="minorHAnsi" w:hAnsiTheme="minorHAnsi" w:cstheme="minorHAnsi"/>
          <w:sz w:val="16"/>
          <w:szCs w:val="16"/>
          <w:lang w:val="es-PE"/>
        </w:rPr>
        <w:t xml:space="preserve"> En este caso, se cuenta con acuerdos con dos gobiernos locales con avances del 10% cada uno, lo que representa un avance de 2%, </w:t>
      </w:r>
      <w:r w:rsidR="009722A0">
        <w:rPr>
          <w:rFonts w:asciiTheme="minorHAnsi" w:hAnsiTheme="minorHAnsi" w:cstheme="minorHAnsi"/>
          <w:sz w:val="16"/>
          <w:szCs w:val="16"/>
          <w:lang w:val="es-PE"/>
        </w:rPr>
        <w:t>en relación con</w:t>
      </w:r>
      <w:r>
        <w:rPr>
          <w:rFonts w:asciiTheme="minorHAnsi" w:hAnsiTheme="minorHAnsi" w:cstheme="minorHAnsi"/>
          <w:sz w:val="16"/>
          <w:szCs w:val="16"/>
          <w:lang w:val="es-PE"/>
        </w:rPr>
        <w:t xml:space="preserve"> la meta del indicador.</w:t>
      </w:r>
      <w:r w:rsidRPr="00DE692F">
        <w:rPr>
          <w:noProof/>
          <w:lang w:val="es-PE"/>
        </w:rPr>
        <w:drawing>
          <wp:inline distT="0" distB="0" distL="0" distR="0" wp14:anchorId="76327FDE" wp14:editId="0A606EF9">
            <wp:extent cx="2902226" cy="1140460"/>
            <wp:effectExtent l="0" t="0" r="0" b="0"/>
            <wp:docPr id="3928522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t="16812" r="46204"/>
                    <a:stretch>
                      <a:fillRect/>
                    </a:stretch>
                  </pic:blipFill>
                  <pic:spPr bwMode="auto">
                    <a:xfrm>
                      <a:off x="0" y="0"/>
                      <a:ext cx="2903631" cy="1141012"/>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15">
    <w:p w14:paraId="6DDBFD28" w14:textId="77777777" w:rsidR="0030549F" w:rsidRPr="00DE692F" w:rsidRDefault="0030549F" w:rsidP="0030549F">
      <w:pPr>
        <w:pStyle w:val="Textonotapie"/>
        <w:jc w:val="left"/>
        <w:rPr>
          <w:lang w:val="es-PE"/>
        </w:rPr>
      </w:pPr>
      <w:r w:rsidRPr="00DE692F">
        <w:rPr>
          <w:rStyle w:val="Refdenotaalpie"/>
          <w:lang w:val="es-PE"/>
        </w:rPr>
        <w:footnoteRef/>
      </w:r>
      <w:r w:rsidRPr="00DE692F">
        <w:rPr>
          <w:lang w:val="es-PE"/>
        </w:rPr>
        <w:t xml:space="preserve"> </w:t>
      </w:r>
      <w:r w:rsidRPr="00B479D6">
        <w:rPr>
          <w:rFonts w:asciiTheme="minorHAnsi" w:eastAsiaTheme="minorEastAsia" w:hAnsiTheme="minorHAnsi" w:cstheme="minorHAnsi"/>
          <w:sz w:val="16"/>
          <w:szCs w:val="16"/>
          <w:lang w:val="es-PE"/>
        </w:rPr>
        <w:t>Tomando en consideración el avance del 90% (50 CCUSAF aprobados en San Ignacio), y para de Alto Amazonas (60% ya que se cuenta con el expediente), se establece un 15% de avance considerando la tabl</w:t>
      </w:r>
      <w:r>
        <w:rPr>
          <w:rFonts w:asciiTheme="minorHAnsi" w:eastAsiaTheme="minorEastAsia" w:hAnsiTheme="minorHAnsi" w:cstheme="minorHAnsi"/>
          <w:sz w:val="16"/>
          <w:szCs w:val="16"/>
          <w:lang w:val="es-PE"/>
        </w:rPr>
        <w:t>a</w:t>
      </w:r>
      <w:r w:rsidRPr="00B479D6">
        <w:rPr>
          <w:rFonts w:asciiTheme="minorHAnsi" w:eastAsiaTheme="minorEastAsia" w:hAnsiTheme="minorHAnsi" w:cstheme="minorHAnsi"/>
          <w:sz w:val="16"/>
          <w:szCs w:val="16"/>
          <w:lang w:val="es-PE"/>
        </w:rPr>
        <w:t xml:space="preserve"> siguiente:</w:t>
      </w:r>
      <w:r w:rsidRPr="00B479D6">
        <w:rPr>
          <w:noProof/>
          <w:lang w:val="es-PE"/>
        </w:rPr>
        <w:drawing>
          <wp:inline distT="0" distB="0" distL="0" distR="0" wp14:anchorId="2B8BE87C" wp14:editId="3162A7C0">
            <wp:extent cx="5118265" cy="1818489"/>
            <wp:effectExtent l="0" t="0" r="0" b="0"/>
            <wp:docPr id="13232355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30419" cy="1822807"/>
                    </a:xfrm>
                    <a:prstGeom prst="rect">
                      <a:avLst/>
                    </a:prstGeom>
                    <a:noFill/>
                    <a:ln>
                      <a:noFill/>
                    </a:ln>
                  </pic:spPr>
                </pic:pic>
              </a:graphicData>
            </a:graphic>
          </wp:inline>
        </w:drawing>
      </w:r>
    </w:p>
  </w:footnote>
  <w:footnote w:id="16">
    <w:p w14:paraId="5EB4B25C" w14:textId="77777777" w:rsidR="0030549F" w:rsidRPr="00DE692F" w:rsidRDefault="0030549F" w:rsidP="0030549F">
      <w:pPr>
        <w:pStyle w:val="Textonotapie"/>
        <w:rPr>
          <w:lang w:val="es-PE"/>
        </w:rPr>
      </w:pPr>
      <w:r w:rsidRPr="00DE692F">
        <w:rPr>
          <w:rStyle w:val="Refdenotaalpie"/>
          <w:lang w:val="es-PE"/>
        </w:rPr>
        <w:footnoteRef/>
      </w:r>
      <w:r w:rsidRPr="00DE692F">
        <w:rPr>
          <w:lang w:val="es-PE"/>
        </w:rPr>
        <w:t xml:space="preserve"> </w:t>
      </w:r>
      <w:r w:rsidRPr="00DE692F">
        <w:rPr>
          <w:noProof/>
          <w:lang w:val="es-PE"/>
        </w:rPr>
        <w:drawing>
          <wp:inline distT="0" distB="0" distL="0" distR="0" wp14:anchorId="552B62B0" wp14:editId="7C75F005">
            <wp:extent cx="5397500" cy="1333500"/>
            <wp:effectExtent l="0" t="0" r="0" b="0"/>
            <wp:docPr id="18257607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500" cy="1333500"/>
                    </a:xfrm>
                    <a:prstGeom prst="rect">
                      <a:avLst/>
                    </a:prstGeom>
                    <a:noFill/>
                    <a:ln>
                      <a:noFill/>
                    </a:ln>
                  </pic:spPr>
                </pic:pic>
              </a:graphicData>
            </a:graphic>
          </wp:inline>
        </w:drawing>
      </w:r>
    </w:p>
  </w:footnote>
  <w:footnote w:id="17">
    <w:p w14:paraId="62AC2F80" w14:textId="77777777" w:rsidR="0030549F" w:rsidRPr="007A51AF" w:rsidRDefault="0030549F" w:rsidP="0030549F">
      <w:pPr>
        <w:pStyle w:val="Textonotapie"/>
        <w:rPr>
          <w:lang w:val="es-ES"/>
        </w:rPr>
      </w:pPr>
      <w:r>
        <w:rPr>
          <w:rStyle w:val="Refdenotaalpie"/>
        </w:rPr>
        <w:footnoteRef/>
      </w:r>
      <w:r w:rsidRPr="00BA7629">
        <w:rPr>
          <w:lang w:val="es-PE"/>
        </w:rPr>
        <w:t xml:space="preserve"> </w:t>
      </w:r>
      <w:r w:rsidRPr="007A51AF">
        <w:rPr>
          <w:noProof/>
        </w:rPr>
        <w:drawing>
          <wp:inline distT="0" distB="0" distL="0" distR="0" wp14:anchorId="02A71B6B" wp14:editId="5FD38A25">
            <wp:extent cx="5397500" cy="1587500"/>
            <wp:effectExtent l="0" t="0" r="0" b="0"/>
            <wp:docPr id="16086226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0" cy="1587500"/>
                    </a:xfrm>
                    <a:prstGeom prst="rect">
                      <a:avLst/>
                    </a:prstGeom>
                    <a:noFill/>
                    <a:ln>
                      <a:noFill/>
                    </a:ln>
                  </pic:spPr>
                </pic:pic>
              </a:graphicData>
            </a:graphic>
          </wp:inline>
        </w:drawing>
      </w:r>
    </w:p>
  </w:footnote>
  <w:footnote w:id="18">
    <w:p w14:paraId="15623B33" w14:textId="059FA8C6" w:rsidR="00411896" w:rsidRPr="00BA7629" w:rsidRDefault="00411896">
      <w:pPr>
        <w:pStyle w:val="Textonotapie"/>
        <w:rPr>
          <w:lang w:val="es-PE"/>
        </w:rPr>
      </w:pPr>
      <w:r>
        <w:rPr>
          <w:rStyle w:val="Refdenotaalpie"/>
        </w:rPr>
        <w:footnoteRef/>
      </w:r>
      <w:r w:rsidRPr="00BA7629">
        <w:rPr>
          <w:lang w:val="es-PE"/>
        </w:rPr>
        <w:t xml:space="preserve"> </w:t>
      </w:r>
      <w:r w:rsidRPr="00411896">
        <w:rPr>
          <w:rFonts w:asciiTheme="minorHAnsi" w:hAnsiTheme="minorHAnsi" w:cstheme="minorHAnsi"/>
          <w:sz w:val="16"/>
          <w:szCs w:val="14"/>
          <w:lang w:val="es-ES"/>
        </w:rPr>
        <w:t>Los planes señalados en este producto, son el medio para lograr la implementación de los paquetes tecnológicos. Es decir, son la estrategia para alcanzar el indicador</w:t>
      </w:r>
      <w:r>
        <w:rPr>
          <w:rFonts w:asciiTheme="minorHAnsi" w:hAnsiTheme="minorHAnsi" w:cstheme="minorHAnsi"/>
          <w:sz w:val="16"/>
          <w:szCs w:val="14"/>
          <w:lang w:val="es-ES"/>
        </w:rPr>
        <w:t xml:space="preserve"> 9</w:t>
      </w:r>
      <w:r w:rsidRPr="00411896">
        <w:rPr>
          <w:rFonts w:asciiTheme="minorHAnsi" w:hAnsiTheme="minorHAnsi" w:cstheme="minorHAnsi"/>
          <w:sz w:val="16"/>
          <w:szCs w:val="14"/>
          <w:lang w:val="es-ES"/>
        </w:rPr>
        <w:t>. Por ello</w:t>
      </w:r>
      <w:r>
        <w:rPr>
          <w:rFonts w:asciiTheme="minorHAnsi" w:hAnsiTheme="minorHAnsi" w:cstheme="minorHAnsi"/>
          <w:sz w:val="16"/>
          <w:szCs w:val="14"/>
          <w:lang w:val="es-ES"/>
        </w:rPr>
        <w:t xml:space="preserve">, la forma de medir el avance de este proceso es: </w:t>
      </w:r>
    </w:p>
    <w:p w14:paraId="62714FCF" w14:textId="350AF2FA" w:rsidR="00BD1A93" w:rsidRPr="00411896" w:rsidRDefault="00BD1A93">
      <w:pPr>
        <w:pStyle w:val="Textonotapie"/>
        <w:rPr>
          <w:lang w:val="es-ES"/>
        </w:rPr>
      </w:pPr>
      <w:r w:rsidRPr="00BD1A93">
        <w:rPr>
          <w:noProof/>
        </w:rPr>
        <w:drawing>
          <wp:inline distT="0" distB="0" distL="0" distR="0" wp14:anchorId="6123BD13" wp14:editId="03EED388">
            <wp:extent cx="2260121" cy="1309072"/>
            <wp:effectExtent l="0" t="0" r="6985" b="5715"/>
            <wp:docPr id="100751838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9425" cy="1320253"/>
                    </a:xfrm>
                    <a:prstGeom prst="rect">
                      <a:avLst/>
                    </a:prstGeom>
                    <a:noFill/>
                    <a:ln>
                      <a:noFill/>
                    </a:ln>
                  </pic:spPr>
                </pic:pic>
              </a:graphicData>
            </a:graphic>
          </wp:inline>
        </w:drawing>
      </w:r>
    </w:p>
  </w:footnote>
  <w:footnote w:id="19">
    <w:p w14:paraId="42809323" w14:textId="77777777" w:rsidR="00C14FF7" w:rsidRDefault="00C14FF7">
      <w:pPr>
        <w:pStyle w:val="Textonotapie"/>
        <w:rPr>
          <w:rFonts w:asciiTheme="minorHAnsi" w:hAnsiTheme="minorHAnsi" w:cstheme="minorHAnsi"/>
          <w:sz w:val="18"/>
          <w:szCs w:val="18"/>
          <w:lang w:val="es-ES"/>
        </w:rPr>
      </w:pPr>
      <w:r>
        <w:rPr>
          <w:rStyle w:val="Refdenotaalpie"/>
        </w:rPr>
        <w:footnoteRef/>
      </w:r>
      <w:r w:rsidRPr="00BA7629">
        <w:rPr>
          <w:lang w:val="es-PE"/>
        </w:rPr>
        <w:t xml:space="preserve"> </w:t>
      </w:r>
      <w:r w:rsidRPr="006C1002">
        <w:rPr>
          <w:rFonts w:asciiTheme="minorHAnsi" w:hAnsiTheme="minorHAnsi" w:cstheme="minorHAnsi"/>
          <w:sz w:val="16"/>
          <w:szCs w:val="16"/>
          <w:lang w:val="es-ES"/>
        </w:rPr>
        <w:t>Puesto que en el paisaje se cuenta con 6 mesas o plataformas en diferentes niveles de gobernanza, se plantea la siguiente metodología según el avance en el cierre de brechas de estas mesas:</w:t>
      </w:r>
      <w:r>
        <w:rPr>
          <w:rFonts w:asciiTheme="minorHAnsi" w:hAnsiTheme="minorHAnsi" w:cstheme="minorHAnsi"/>
          <w:sz w:val="18"/>
          <w:szCs w:val="18"/>
          <w:lang w:val="es-ES"/>
        </w:rPr>
        <w:t xml:space="preserve"> </w:t>
      </w:r>
    </w:p>
    <w:p w14:paraId="4A834B92" w14:textId="56D98EF6" w:rsidR="00C14FF7" w:rsidRPr="00C14FF7" w:rsidRDefault="00C14FF7">
      <w:pPr>
        <w:pStyle w:val="Textonotapie"/>
        <w:rPr>
          <w:lang w:val="es-ES"/>
        </w:rPr>
      </w:pPr>
      <w:r w:rsidRPr="00C14FF7">
        <w:rPr>
          <w:rFonts w:asciiTheme="minorHAnsi" w:hAnsiTheme="minorHAnsi" w:cstheme="minorHAnsi"/>
          <w:sz w:val="18"/>
          <w:szCs w:val="18"/>
          <w:lang w:val="es-ES"/>
        </w:rPr>
        <w:t xml:space="preserve"> </w:t>
      </w:r>
      <w:r w:rsidR="00BD1A93" w:rsidRPr="00BD1A93">
        <w:rPr>
          <w:noProof/>
        </w:rPr>
        <w:drawing>
          <wp:inline distT="0" distB="0" distL="0" distR="0" wp14:anchorId="22D2B032" wp14:editId="0EFC719F">
            <wp:extent cx="1872691" cy="865764"/>
            <wp:effectExtent l="0" t="0" r="0" b="0"/>
            <wp:docPr id="9681991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88" cy="868999"/>
                    </a:xfrm>
                    <a:prstGeom prst="rect">
                      <a:avLst/>
                    </a:prstGeom>
                    <a:noFill/>
                    <a:ln>
                      <a:noFill/>
                    </a:ln>
                  </pic:spPr>
                </pic:pic>
              </a:graphicData>
            </a:graphic>
          </wp:inline>
        </w:drawing>
      </w:r>
    </w:p>
  </w:footnote>
  <w:footnote w:id="20">
    <w:p w14:paraId="17458915" w14:textId="77777777" w:rsidR="00084119" w:rsidRPr="00BA7629" w:rsidRDefault="006C1002">
      <w:pPr>
        <w:pStyle w:val="Textonotapie"/>
        <w:rPr>
          <w:lang w:val="es-PE"/>
        </w:rPr>
      </w:pPr>
      <w:r>
        <w:rPr>
          <w:rStyle w:val="Refdenotaalpie"/>
        </w:rPr>
        <w:footnoteRef/>
      </w:r>
      <w:r w:rsidR="00084119" w:rsidRPr="00BA7629">
        <w:rPr>
          <w:lang w:val="es-PE"/>
        </w:rPr>
        <w:t xml:space="preserve"> </w:t>
      </w:r>
      <w:r w:rsidR="00084119" w:rsidRPr="00084119">
        <w:rPr>
          <w:rFonts w:asciiTheme="minorHAnsi" w:hAnsiTheme="minorHAnsi" w:cstheme="minorHAnsi"/>
          <w:sz w:val="16"/>
          <w:szCs w:val="16"/>
          <w:lang w:val="es-PE"/>
        </w:rPr>
        <w:t>Se ha utilizado la siguiente metodología para cuantificar los avances del proceso:</w:t>
      </w:r>
    </w:p>
    <w:p w14:paraId="380F4E74" w14:textId="6E503D1E" w:rsidR="006C1002" w:rsidRPr="006C1002" w:rsidRDefault="006C1002">
      <w:pPr>
        <w:pStyle w:val="Textonotapie"/>
        <w:rPr>
          <w:rFonts w:asciiTheme="minorHAnsi" w:hAnsiTheme="minorHAnsi" w:cstheme="minorHAnsi"/>
          <w:sz w:val="16"/>
          <w:szCs w:val="16"/>
          <w:lang w:val="es-ES"/>
        </w:rPr>
      </w:pPr>
      <w:r w:rsidRPr="00BA7629">
        <w:rPr>
          <w:lang w:val="es-PE"/>
        </w:rPr>
        <w:t xml:space="preserve"> </w:t>
      </w:r>
      <w:r w:rsidR="00084119" w:rsidRPr="00084119">
        <w:rPr>
          <w:noProof/>
        </w:rPr>
        <w:drawing>
          <wp:inline distT="0" distB="0" distL="0" distR="0" wp14:anchorId="0C80EF95" wp14:editId="309CA7E1">
            <wp:extent cx="2867558" cy="1027239"/>
            <wp:effectExtent l="0" t="0" r="0" b="1905"/>
            <wp:docPr id="99698619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7495" cy="1030799"/>
                    </a:xfrm>
                    <a:prstGeom prst="rect">
                      <a:avLst/>
                    </a:prstGeom>
                    <a:noFill/>
                    <a:ln>
                      <a:noFill/>
                    </a:ln>
                  </pic:spPr>
                </pic:pic>
              </a:graphicData>
            </a:graphic>
          </wp:inline>
        </w:drawing>
      </w:r>
    </w:p>
  </w:footnote>
  <w:footnote w:id="21">
    <w:p w14:paraId="77AEC135" w14:textId="789A8005" w:rsidR="007C3BBA" w:rsidRPr="00BA7629" w:rsidRDefault="007C3BBA">
      <w:pPr>
        <w:pStyle w:val="Textonotapie"/>
        <w:rPr>
          <w:lang w:val="es-PE"/>
        </w:rPr>
      </w:pPr>
      <w:r>
        <w:rPr>
          <w:rStyle w:val="Refdenotaalpie"/>
        </w:rPr>
        <w:footnoteRef/>
      </w:r>
      <w:r w:rsidRPr="00BA7629">
        <w:rPr>
          <w:lang w:val="es-PE"/>
        </w:rPr>
        <w:t xml:space="preserve">  </w:t>
      </w:r>
      <w:r w:rsidRPr="007C3BBA">
        <w:rPr>
          <w:rFonts w:asciiTheme="minorHAnsi" w:hAnsiTheme="minorHAnsi" w:cstheme="minorHAnsi"/>
          <w:sz w:val="16"/>
          <w:szCs w:val="16"/>
          <w:lang w:val="es-PE"/>
        </w:rPr>
        <w:t>Se ha utilizado la siguiente metodología para calcular el avance de este producto</w:t>
      </w:r>
    </w:p>
    <w:p w14:paraId="58E046D4" w14:textId="05931C3B" w:rsidR="007C3BBA" w:rsidRPr="007C3BBA" w:rsidRDefault="007C3BBA">
      <w:pPr>
        <w:pStyle w:val="Textonotapie"/>
        <w:rPr>
          <w:lang w:val="es-ES"/>
        </w:rPr>
      </w:pPr>
      <w:r w:rsidRPr="007C3BBA">
        <w:rPr>
          <w:noProof/>
        </w:rPr>
        <w:drawing>
          <wp:inline distT="0" distB="0" distL="0" distR="0" wp14:anchorId="1838A386" wp14:editId="5DB4578A">
            <wp:extent cx="3102885" cy="1002183"/>
            <wp:effectExtent l="0" t="0" r="2540" b="7620"/>
            <wp:docPr id="35013720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8188" cy="1007126"/>
                    </a:xfrm>
                    <a:prstGeom prst="rect">
                      <a:avLst/>
                    </a:prstGeom>
                    <a:noFill/>
                    <a:ln>
                      <a:noFill/>
                    </a:ln>
                  </pic:spPr>
                </pic:pic>
              </a:graphicData>
            </a:graphic>
          </wp:inline>
        </w:drawing>
      </w:r>
    </w:p>
  </w:footnote>
  <w:footnote w:id="22">
    <w:p w14:paraId="3372535F" w14:textId="394BD7B6" w:rsidR="003D4886" w:rsidRDefault="007F7C4A">
      <w:pPr>
        <w:pStyle w:val="Textonotapie"/>
        <w:rPr>
          <w:lang w:val="es-ES"/>
        </w:rPr>
      </w:pPr>
      <w:r>
        <w:rPr>
          <w:rStyle w:val="Refdenotaalpie"/>
        </w:rPr>
        <w:footnoteRef/>
      </w:r>
      <w:r w:rsidR="003D4886" w:rsidRPr="00BA7629">
        <w:rPr>
          <w:lang w:val="es-PE"/>
        </w:rPr>
        <w:t xml:space="preserve"> </w:t>
      </w:r>
      <w:r w:rsidR="003D4886" w:rsidRPr="003D4886">
        <w:rPr>
          <w:rFonts w:asciiTheme="minorHAnsi" w:hAnsiTheme="minorHAnsi" w:cstheme="minorHAnsi"/>
          <w:sz w:val="16"/>
          <w:szCs w:val="16"/>
          <w:lang w:val="es-ES"/>
        </w:rPr>
        <w:t>Se ha utilizado la siguiente metodología para calcular el avance de este producto:</w:t>
      </w:r>
    </w:p>
    <w:p w14:paraId="756FCB78" w14:textId="54F2EA27" w:rsidR="003D4886" w:rsidRDefault="003D4886">
      <w:pPr>
        <w:pStyle w:val="Textonotapie"/>
        <w:rPr>
          <w:lang w:val="es-ES"/>
        </w:rPr>
      </w:pPr>
      <w:r w:rsidRPr="003D4886">
        <w:rPr>
          <w:noProof/>
        </w:rPr>
        <w:drawing>
          <wp:inline distT="0" distB="0" distL="0" distR="0" wp14:anchorId="09EE4805" wp14:editId="130CC2D0">
            <wp:extent cx="2845613" cy="1142212"/>
            <wp:effectExtent l="0" t="0" r="0" b="1270"/>
            <wp:docPr id="17611186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185" cy="1146857"/>
                    </a:xfrm>
                    <a:prstGeom prst="rect">
                      <a:avLst/>
                    </a:prstGeom>
                    <a:noFill/>
                    <a:ln>
                      <a:noFill/>
                    </a:ln>
                  </pic:spPr>
                </pic:pic>
              </a:graphicData>
            </a:graphic>
          </wp:inline>
        </w:drawing>
      </w:r>
    </w:p>
    <w:p w14:paraId="50D3989B" w14:textId="77777777" w:rsidR="007F7C4A" w:rsidRPr="003D4886" w:rsidRDefault="007F7C4A">
      <w:pPr>
        <w:pStyle w:val="Textonotapie"/>
        <w:rPr>
          <w:lang w:val="es-ES"/>
        </w:rPr>
      </w:pPr>
    </w:p>
  </w:footnote>
  <w:footnote w:id="23">
    <w:p w14:paraId="0A047D46" w14:textId="6CEC1E1B" w:rsidR="007F7C4A" w:rsidRDefault="007F7C4A">
      <w:pPr>
        <w:pStyle w:val="Textonotapie"/>
        <w:rPr>
          <w:rFonts w:asciiTheme="minorHAnsi" w:hAnsiTheme="minorHAnsi" w:cstheme="minorHAnsi"/>
          <w:sz w:val="16"/>
          <w:szCs w:val="16"/>
          <w:lang w:val="es-ES"/>
        </w:rPr>
      </w:pPr>
      <w:r>
        <w:rPr>
          <w:rStyle w:val="Refdenotaalpie"/>
        </w:rPr>
        <w:footnoteRef/>
      </w:r>
      <w:r w:rsidRPr="00BA7629">
        <w:rPr>
          <w:lang w:val="es-PE"/>
        </w:rPr>
        <w:t xml:space="preserve"> </w:t>
      </w:r>
      <w:r w:rsidRPr="003D4886">
        <w:rPr>
          <w:rFonts w:asciiTheme="minorHAnsi" w:hAnsiTheme="minorHAnsi" w:cstheme="minorHAnsi"/>
          <w:sz w:val="16"/>
          <w:szCs w:val="16"/>
          <w:lang w:val="es-ES"/>
        </w:rPr>
        <w:t>Se ha utilizado la siguiente metodología para calcular el avance de este producto:</w:t>
      </w:r>
    </w:p>
    <w:p w14:paraId="2B39799F" w14:textId="5FE374CF" w:rsidR="007F7C4A" w:rsidRPr="007F7C4A" w:rsidRDefault="007F7C4A">
      <w:pPr>
        <w:pStyle w:val="Textonotapie"/>
        <w:rPr>
          <w:lang w:val="es-ES"/>
        </w:rPr>
      </w:pPr>
      <w:r w:rsidRPr="007F7C4A">
        <w:rPr>
          <w:noProof/>
        </w:rPr>
        <w:drawing>
          <wp:inline distT="0" distB="0" distL="0" distR="0" wp14:anchorId="03531417" wp14:editId="10E448F5">
            <wp:extent cx="2886304" cy="1053389"/>
            <wp:effectExtent l="0" t="0" r="0" b="0"/>
            <wp:docPr id="50892397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2881" cy="1066738"/>
                    </a:xfrm>
                    <a:prstGeom prst="rect">
                      <a:avLst/>
                    </a:prstGeom>
                    <a:noFill/>
                    <a:ln>
                      <a:noFill/>
                    </a:ln>
                  </pic:spPr>
                </pic:pic>
              </a:graphicData>
            </a:graphic>
          </wp:inline>
        </w:drawing>
      </w:r>
    </w:p>
  </w:footnote>
  <w:footnote w:id="24">
    <w:p w14:paraId="7A833AA9" w14:textId="74DA3828" w:rsidR="00DF2AFE" w:rsidRDefault="00DF2AFE">
      <w:pPr>
        <w:pStyle w:val="Textonotapie"/>
        <w:rPr>
          <w:lang w:val="es-ES"/>
        </w:rPr>
      </w:pPr>
      <w:r>
        <w:rPr>
          <w:rStyle w:val="Refdenotaalpie"/>
        </w:rPr>
        <w:footnoteRef/>
      </w:r>
      <w:r w:rsidRPr="00BA7629">
        <w:rPr>
          <w:lang w:val="es-PE"/>
        </w:rPr>
        <w:t xml:space="preserve"> </w:t>
      </w:r>
      <w:r w:rsidRPr="00DF2AFE">
        <w:rPr>
          <w:rFonts w:asciiTheme="minorHAnsi" w:hAnsiTheme="minorHAnsi" w:cstheme="minorHAnsi"/>
          <w:sz w:val="16"/>
          <w:szCs w:val="16"/>
          <w:lang w:val="es-ES"/>
        </w:rPr>
        <w:t>Para evaluar el avance de este proceso se tomó en cuenta la siguiente metodología:</w:t>
      </w:r>
    </w:p>
    <w:p w14:paraId="61C54642" w14:textId="232B3331" w:rsidR="00DF2AFE" w:rsidRPr="00DF2AFE" w:rsidRDefault="00DF2AFE">
      <w:pPr>
        <w:pStyle w:val="Textonotapie"/>
        <w:rPr>
          <w:lang w:val="es-ES"/>
        </w:rPr>
      </w:pPr>
      <w:r w:rsidRPr="00DF2AFE">
        <w:rPr>
          <w:noProof/>
        </w:rPr>
        <w:drawing>
          <wp:inline distT="0" distB="0" distL="0" distR="0" wp14:anchorId="597A3E22" wp14:editId="1CF70FB7">
            <wp:extent cx="2631338" cy="1089965"/>
            <wp:effectExtent l="0" t="0" r="0" b="0"/>
            <wp:docPr id="186832549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2231" cy="1094477"/>
                    </a:xfrm>
                    <a:prstGeom prst="rect">
                      <a:avLst/>
                    </a:prstGeom>
                    <a:noFill/>
                    <a:ln>
                      <a:noFill/>
                    </a:ln>
                  </pic:spPr>
                </pic:pic>
              </a:graphicData>
            </a:graphic>
          </wp:inline>
        </w:drawing>
      </w:r>
    </w:p>
  </w:footnote>
  <w:footnote w:id="25">
    <w:p w14:paraId="6487667A" w14:textId="25271488" w:rsidR="00F501D4" w:rsidRDefault="00F501D4">
      <w:pPr>
        <w:pStyle w:val="Textonotapie"/>
        <w:rPr>
          <w:lang w:val="es-ES"/>
        </w:rPr>
      </w:pPr>
      <w:r>
        <w:rPr>
          <w:rStyle w:val="Refdenotaalpie"/>
        </w:rPr>
        <w:footnoteRef/>
      </w:r>
      <w:r w:rsidRPr="00BA7629">
        <w:rPr>
          <w:lang w:val="es-PE"/>
        </w:rPr>
        <w:t xml:space="preserve"> </w:t>
      </w:r>
      <w:r w:rsidRPr="00F501D4">
        <w:rPr>
          <w:rFonts w:asciiTheme="minorHAnsi" w:hAnsiTheme="minorHAnsi" w:cstheme="minorHAnsi"/>
          <w:sz w:val="16"/>
          <w:szCs w:val="16"/>
          <w:lang w:val="es-ES"/>
        </w:rPr>
        <w:t>Se estableció la siguiente metodología para medir el avance del producto:</w:t>
      </w:r>
    </w:p>
    <w:p w14:paraId="5499BDE3" w14:textId="33849E67" w:rsidR="00F501D4" w:rsidRDefault="007A3ABA">
      <w:pPr>
        <w:pStyle w:val="Textonotapie"/>
        <w:rPr>
          <w:lang w:val="es-ES"/>
        </w:rPr>
      </w:pPr>
      <w:r w:rsidRPr="007A3ABA">
        <w:rPr>
          <w:noProof/>
        </w:rPr>
        <w:drawing>
          <wp:inline distT="0" distB="0" distL="0" distR="0" wp14:anchorId="03943480" wp14:editId="7F2187C0">
            <wp:extent cx="2318918" cy="1020342"/>
            <wp:effectExtent l="0" t="0" r="5715" b="8890"/>
            <wp:docPr id="36383760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6106" cy="1023505"/>
                    </a:xfrm>
                    <a:prstGeom prst="rect">
                      <a:avLst/>
                    </a:prstGeom>
                    <a:noFill/>
                    <a:ln>
                      <a:noFill/>
                    </a:ln>
                  </pic:spPr>
                </pic:pic>
              </a:graphicData>
            </a:graphic>
          </wp:inline>
        </w:drawing>
      </w:r>
    </w:p>
    <w:p w14:paraId="4C201934" w14:textId="77777777" w:rsidR="007A3ABA" w:rsidRPr="00F501D4" w:rsidRDefault="007A3ABA">
      <w:pPr>
        <w:pStyle w:val="Textonotapie"/>
        <w:rPr>
          <w:lang w:val="es-ES"/>
        </w:rPr>
      </w:pPr>
    </w:p>
  </w:footnote>
  <w:footnote w:id="26">
    <w:p w14:paraId="67B86D99" w14:textId="35FEE65D" w:rsidR="007A3ABA" w:rsidRDefault="007A3ABA">
      <w:pPr>
        <w:pStyle w:val="Textonotapie"/>
        <w:rPr>
          <w:rFonts w:asciiTheme="minorHAnsi" w:hAnsiTheme="minorHAnsi" w:cstheme="minorHAnsi"/>
          <w:sz w:val="16"/>
          <w:szCs w:val="16"/>
          <w:lang w:val="es-ES"/>
        </w:rPr>
      </w:pPr>
      <w:r>
        <w:rPr>
          <w:rStyle w:val="Refdenotaalpie"/>
        </w:rPr>
        <w:footnoteRef/>
      </w:r>
      <w:r w:rsidRPr="00BA7629">
        <w:rPr>
          <w:lang w:val="es-PE"/>
        </w:rPr>
        <w:t xml:space="preserve"> </w:t>
      </w:r>
      <w:r w:rsidRPr="00F501D4">
        <w:rPr>
          <w:rFonts w:asciiTheme="minorHAnsi" w:hAnsiTheme="minorHAnsi" w:cstheme="minorHAnsi"/>
          <w:sz w:val="16"/>
          <w:szCs w:val="16"/>
          <w:lang w:val="es-ES"/>
        </w:rPr>
        <w:t>Se estableció la siguiente metodología para medir el avance del producto:</w:t>
      </w:r>
    </w:p>
    <w:p w14:paraId="1D054288" w14:textId="48335C28" w:rsidR="007A3ABA" w:rsidRDefault="007A3ABA">
      <w:pPr>
        <w:pStyle w:val="Textonotapie"/>
        <w:rPr>
          <w:lang w:val="es-ES"/>
        </w:rPr>
      </w:pPr>
      <w:r w:rsidRPr="007A3ABA">
        <w:rPr>
          <w:noProof/>
        </w:rPr>
        <w:drawing>
          <wp:inline distT="0" distB="0" distL="0" distR="0" wp14:anchorId="6AFF32CD" wp14:editId="3D360923">
            <wp:extent cx="2201875" cy="1052092"/>
            <wp:effectExtent l="0" t="0" r="8255" b="0"/>
            <wp:docPr id="174205285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6281" cy="1058975"/>
                    </a:xfrm>
                    <a:prstGeom prst="rect">
                      <a:avLst/>
                    </a:prstGeom>
                    <a:noFill/>
                    <a:ln>
                      <a:noFill/>
                    </a:ln>
                  </pic:spPr>
                </pic:pic>
              </a:graphicData>
            </a:graphic>
          </wp:inline>
        </w:drawing>
      </w:r>
    </w:p>
    <w:p w14:paraId="7DAB1C3A" w14:textId="77777777" w:rsidR="007A3ABA" w:rsidRPr="007A3ABA" w:rsidRDefault="007A3ABA">
      <w:pPr>
        <w:pStyle w:val="Textonotapie"/>
        <w:rPr>
          <w:lang w:val="es-ES"/>
        </w:rPr>
      </w:pPr>
    </w:p>
  </w:footnote>
  <w:footnote w:id="27">
    <w:p w14:paraId="7258B574" w14:textId="0AC1A012" w:rsidR="007A3ABA" w:rsidRDefault="007A3ABA">
      <w:pPr>
        <w:pStyle w:val="Textonotapie"/>
        <w:rPr>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w:t>
      </w:r>
    </w:p>
    <w:p w14:paraId="018628FA" w14:textId="5107EB7C" w:rsidR="007A3ABA" w:rsidRPr="007A3ABA" w:rsidRDefault="00440800">
      <w:pPr>
        <w:pStyle w:val="Textonotapie"/>
        <w:rPr>
          <w:lang w:val="es-ES"/>
        </w:rPr>
      </w:pPr>
      <w:r w:rsidRPr="00440800">
        <w:rPr>
          <w:noProof/>
        </w:rPr>
        <w:drawing>
          <wp:inline distT="0" distB="0" distL="0" distR="0" wp14:anchorId="11B91A44" wp14:editId="63FA1CAF">
            <wp:extent cx="2099462" cy="1297179"/>
            <wp:effectExtent l="0" t="0" r="0" b="0"/>
            <wp:docPr id="32626549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14724" cy="1306609"/>
                    </a:xfrm>
                    <a:prstGeom prst="rect">
                      <a:avLst/>
                    </a:prstGeom>
                    <a:noFill/>
                    <a:ln>
                      <a:noFill/>
                    </a:ln>
                  </pic:spPr>
                </pic:pic>
              </a:graphicData>
            </a:graphic>
          </wp:inline>
        </w:drawing>
      </w:r>
    </w:p>
  </w:footnote>
  <w:footnote w:id="28">
    <w:p w14:paraId="27702C31" w14:textId="202AB948" w:rsidR="00485909" w:rsidRDefault="00485909">
      <w:pPr>
        <w:pStyle w:val="Textonotapie"/>
        <w:rPr>
          <w:rFonts w:asciiTheme="minorHAnsi" w:hAnsiTheme="minorHAnsi" w:cstheme="minorHAnsi"/>
          <w:sz w:val="16"/>
          <w:szCs w:val="16"/>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w:t>
      </w:r>
    </w:p>
    <w:p w14:paraId="42C8FD9C" w14:textId="743E7958" w:rsidR="00485909" w:rsidRPr="00485909" w:rsidRDefault="00485909">
      <w:pPr>
        <w:pStyle w:val="Textonotapie"/>
        <w:rPr>
          <w:lang w:val="es-ES"/>
        </w:rPr>
      </w:pPr>
      <w:r w:rsidRPr="00485909">
        <w:rPr>
          <w:noProof/>
        </w:rPr>
        <w:drawing>
          <wp:inline distT="0" distB="0" distL="0" distR="0" wp14:anchorId="3265084B" wp14:editId="7F7CA105">
            <wp:extent cx="2779776" cy="1491837"/>
            <wp:effectExtent l="0" t="0" r="1905" b="0"/>
            <wp:docPr id="53641515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91379" cy="1498064"/>
                    </a:xfrm>
                    <a:prstGeom prst="rect">
                      <a:avLst/>
                    </a:prstGeom>
                    <a:noFill/>
                    <a:ln>
                      <a:noFill/>
                    </a:ln>
                  </pic:spPr>
                </pic:pic>
              </a:graphicData>
            </a:graphic>
          </wp:inline>
        </w:drawing>
      </w:r>
    </w:p>
  </w:footnote>
  <w:footnote w:id="29">
    <w:p w14:paraId="3BA2129E" w14:textId="41212863" w:rsidR="00BA5D3E" w:rsidRDefault="00BA5D3E">
      <w:pPr>
        <w:pStyle w:val="Textonotapie"/>
        <w:rPr>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w:t>
      </w:r>
    </w:p>
    <w:p w14:paraId="47F9A5DB" w14:textId="28343674" w:rsidR="00BA5D3E" w:rsidRPr="00BA5D3E" w:rsidRDefault="00BA5D3E">
      <w:pPr>
        <w:pStyle w:val="Textonotapie"/>
        <w:rPr>
          <w:lang w:val="es-ES"/>
        </w:rPr>
      </w:pPr>
      <w:r w:rsidRPr="00BA5D3E">
        <w:rPr>
          <w:noProof/>
        </w:rPr>
        <w:drawing>
          <wp:inline distT="0" distB="0" distL="0" distR="0" wp14:anchorId="3C467E4C" wp14:editId="02544B8C">
            <wp:extent cx="2392070" cy="1279435"/>
            <wp:effectExtent l="0" t="0" r="8255" b="0"/>
            <wp:docPr id="18110360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7829" cy="1282515"/>
                    </a:xfrm>
                    <a:prstGeom prst="rect">
                      <a:avLst/>
                    </a:prstGeom>
                    <a:noFill/>
                    <a:ln>
                      <a:noFill/>
                    </a:ln>
                  </pic:spPr>
                </pic:pic>
              </a:graphicData>
            </a:graphic>
          </wp:inline>
        </w:drawing>
      </w:r>
    </w:p>
  </w:footnote>
  <w:footnote w:id="30">
    <w:p w14:paraId="62CB698B" w14:textId="6DB8D4C6" w:rsidR="001375E9" w:rsidRPr="001375E9" w:rsidRDefault="001375E9" w:rsidP="001375E9">
      <w:pPr>
        <w:pStyle w:val="Textonotapie"/>
        <w:jc w:val="left"/>
        <w:rPr>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w:t>
      </w:r>
      <w:r w:rsidRPr="00BA7629">
        <w:rPr>
          <w:lang w:val="es-PE"/>
        </w:rPr>
        <w:t xml:space="preserve"> </w:t>
      </w:r>
      <w:r w:rsidRPr="001375E9">
        <w:rPr>
          <w:noProof/>
        </w:rPr>
        <w:drawing>
          <wp:inline distT="0" distB="0" distL="0" distR="0" wp14:anchorId="6C122B1B" wp14:editId="53D28EA2">
            <wp:extent cx="2516429" cy="927847"/>
            <wp:effectExtent l="0" t="0" r="0" b="5715"/>
            <wp:docPr id="205998693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7114" cy="931787"/>
                    </a:xfrm>
                    <a:prstGeom prst="rect">
                      <a:avLst/>
                    </a:prstGeom>
                    <a:noFill/>
                    <a:ln>
                      <a:noFill/>
                    </a:ln>
                  </pic:spPr>
                </pic:pic>
              </a:graphicData>
            </a:graphic>
          </wp:inline>
        </w:drawing>
      </w:r>
    </w:p>
  </w:footnote>
  <w:footnote w:id="31">
    <w:p w14:paraId="2142F757" w14:textId="06DAF709" w:rsidR="005058DD" w:rsidRDefault="005058DD">
      <w:pPr>
        <w:pStyle w:val="Textonotapie"/>
        <w:rPr>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 xml:space="preserve">estableció la siguiente metodología para estimar el avance del producto, el 2025 se realizaron 2 eventos y en el 2024 </w:t>
      </w:r>
      <w:r w:rsidR="006D23C5">
        <w:rPr>
          <w:rFonts w:asciiTheme="minorHAnsi" w:hAnsiTheme="minorHAnsi" w:cstheme="minorHAnsi"/>
          <w:sz w:val="16"/>
          <w:szCs w:val="16"/>
          <w:lang w:val="es-ES"/>
        </w:rPr>
        <w:t xml:space="preserve">se realizó </w:t>
      </w:r>
      <w:r>
        <w:rPr>
          <w:rFonts w:asciiTheme="minorHAnsi" w:hAnsiTheme="minorHAnsi" w:cstheme="minorHAnsi"/>
          <w:sz w:val="16"/>
          <w:szCs w:val="16"/>
          <w:lang w:val="es-ES"/>
        </w:rPr>
        <w:t>1</w:t>
      </w:r>
      <w:r w:rsidR="006D23C5">
        <w:rPr>
          <w:rFonts w:asciiTheme="minorHAnsi" w:hAnsiTheme="minorHAnsi" w:cstheme="minorHAnsi"/>
          <w:sz w:val="16"/>
          <w:szCs w:val="16"/>
          <w:lang w:val="es-ES"/>
        </w:rPr>
        <w:t xml:space="preserve"> evento</w:t>
      </w:r>
      <w:r>
        <w:rPr>
          <w:rFonts w:asciiTheme="minorHAnsi" w:hAnsiTheme="minorHAnsi" w:cstheme="minorHAnsi"/>
          <w:sz w:val="16"/>
          <w:szCs w:val="16"/>
          <w:lang w:val="es-ES"/>
        </w:rPr>
        <w:t>, con lo que hacen un total de 3:</w:t>
      </w:r>
    </w:p>
    <w:p w14:paraId="4FA22327" w14:textId="51FAF009" w:rsidR="005058DD" w:rsidRPr="005058DD" w:rsidRDefault="005058DD">
      <w:pPr>
        <w:pStyle w:val="Textonotapie"/>
        <w:rPr>
          <w:lang w:val="es-ES"/>
        </w:rPr>
      </w:pPr>
      <w:r w:rsidRPr="005058DD">
        <w:rPr>
          <w:noProof/>
        </w:rPr>
        <w:drawing>
          <wp:inline distT="0" distB="0" distL="0" distR="0" wp14:anchorId="3D82C748" wp14:editId="0B7025C4">
            <wp:extent cx="2544792" cy="1475602"/>
            <wp:effectExtent l="0" t="0" r="8255" b="0"/>
            <wp:docPr id="43999293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942" cy="1484387"/>
                    </a:xfrm>
                    <a:prstGeom prst="rect">
                      <a:avLst/>
                    </a:prstGeom>
                    <a:noFill/>
                    <a:ln>
                      <a:noFill/>
                    </a:ln>
                  </pic:spPr>
                </pic:pic>
              </a:graphicData>
            </a:graphic>
          </wp:inline>
        </w:drawing>
      </w:r>
    </w:p>
  </w:footnote>
  <w:footnote w:id="32">
    <w:p w14:paraId="03CC9962" w14:textId="4E54048F" w:rsidR="00D90797" w:rsidRDefault="00D90797">
      <w:pPr>
        <w:pStyle w:val="Textonotapie"/>
        <w:rPr>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 el 2025 los productores participaron en 4 espacios comerciales de forma efectiva:</w:t>
      </w:r>
    </w:p>
    <w:p w14:paraId="39E93745" w14:textId="49F1E833" w:rsidR="00D90797" w:rsidRPr="00D90797" w:rsidRDefault="00D90797">
      <w:pPr>
        <w:pStyle w:val="Textonotapie"/>
        <w:rPr>
          <w:lang w:val="es-ES"/>
        </w:rPr>
      </w:pPr>
      <w:r w:rsidRPr="00D90797">
        <w:rPr>
          <w:noProof/>
        </w:rPr>
        <w:drawing>
          <wp:inline distT="0" distB="0" distL="0" distR="0" wp14:anchorId="32F377B3" wp14:editId="2AF8C6A3">
            <wp:extent cx="2622430" cy="1520620"/>
            <wp:effectExtent l="0" t="0" r="6985" b="3810"/>
            <wp:docPr id="125161561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33472" cy="1527023"/>
                    </a:xfrm>
                    <a:prstGeom prst="rect">
                      <a:avLst/>
                    </a:prstGeom>
                    <a:noFill/>
                    <a:ln>
                      <a:noFill/>
                    </a:ln>
                  </pic:spPr>
                </pic:pic>
              </a:graphicData>
            </a:graphic>
          </wp:inline>
        </w:drawing>
      </w:r>
    </w:p>
  </w:footnote>
  <w:footnote w:id="33">
    <w:p w14:paraId="24E2A88F" w14:textId="6AEA9BCB" w:rsidR="00C57821" w:rsidRDefault="00C57821">
      <w:pPr>
        <w:pStyle w:val="Textonotapie"/>
        <w:rPr>
          <w:rFonts w:asciiTheme="minorHAnsi" w:hAnsiTheme="minorHAnsi" w:cstheme="minorHAnsi"/>
          <w:sz w:val="16"/>
          <w:szCs w:val="16"/>
          <w:lang w:val="es-ES"/>
        </w:rPr>
      </w:pPr>
      <w:r>
        <w:rPr>
          <w:rStyle w:val="Refdenotaalpie"/>
        </w:rPr>
        <w:footnoteRef/>
      </w:r>
      <w:r w:rsidRPr="00BA7629">
        <w:rPr>
          <w:lang w:val="es-PE"/>
        </w:rPr>
        <w:t xml:space="preserve"> </w:t>
      </w:r>
      <w:r w:rsidRPr="007A3ABA">
        <w:rPr>
          <w:rFonts w:asciiTheme="minorHAnsi" w:hAnsiTheme="minorHAnsi" w:cstheme="minorHAnsi"/>
          <w:sz w:val="16"/>
          <w:szCs w:val="16"/>
          <w:lang w:val="es-ES"/>
        </w:rPr>
        <w:t xml:space="preserve">Se </w:t>
      </w:r>
      <w:r>
        <w:rPr>
          <w:rFonts w:asciiTheme="minorHAnsi" w:hAnsiTheme="minorHAnsi" w:cstheme="minorHAnsi"/>
          <w:sz w:val="16"/>
          <w:szCs w:val="16"/>
          <w:lang w:val="es-ES"/>
        </w:rPr>
        <w:t>estableció la siguiente metodología para estimar el avance del producto, al 2025, se tiene dos informes anuales presentados (2024, 2025) y 2 planes de trabajo (2024 y 2025 aprobados)</w:t>
      </w:r>
    </w:p>
    <w:p w14:paraId="3584C495" w14:textId="61E5591F" w:rsidR="00C57821" w:rsidRPr="00C57821" w:rsidRDefault="00C57821">
      <w:pPr>
        <w:pStyle w:val="Textonotapie"/>
        <w:rPr>
          <w:lang w:val="es-ES"/>
        </w:rPr>
      </w:pPr>
      <w:r w:rsidRPr="00C57821">
        <w:rPr>
          <w:noProof/>
        </w:rPr>
        <w:drawing>
          <wp:inline distT="0" distB="0" distL="0" distR="0" wp14:anchorId="00778486" wp14:editId="671AA795">
            <wp:extent cx="2467155" cy="1557757"/>
            <wp:effectExtent l="0" t="0" r="9525" b="4445"/>
            <wp:docPr id="168403155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74108" cy="1562147"/>
                    </a:xfrm>
                    <a:prstGeom prst="rect">
                      <a:avLst/>
                    </a:prstGeom>
                    <a:noFill/>
                    <a:ln>
                      <a:noFill/>
                    </a:ln>
                  </pic:spPr>
                </pic:pic>
              </a:graphicData>
            </a:graphic>
          </wp:inline>
        </w:drawing>
      </w:r>
    </w:p>
  </w:footnote>
  <w:footnote w:id="34">
    <w:p w14:paraId="10A2559E" w14:textId="148A11DB" w:rsidR="00B15E88" w:rsidRPr="00DE692F" w:rsidRDefault="00B15E88">
      <w:pPr>
        <w:pStyle w:val="Textonotapie"/>
        <w:rPr>
          <w:rFonts w:asciiTheme="minorHAnsi" w:hAnsiTheme="minorHAnsi" w:cstheme="minorHAnsi"/>
          <w:sz w:val="16"/>
          <w:szCs w:val="16"/>
          <w:lang w:val="es-PE"/>
        </w:rPr>
      </w:pPr>
      <w:r w:rsidRPr="00DE692F">
        <w:rPr>
          <w:rStyle w:val="Refdenotaalpie"/>
          <w:rFonts w:asciiTheme="minorHAnsi" w:hAnsiTheme="minorHAnsi" w:cstheme="minorHAnsi"/>
          <w:sz w:val="16"/>
          <w:szCs w:val="16"/>
          <w:lang w:val="es-PE"/>
        </w:rPr>
        <w:footnoteRef/>
      </w:r>
      <w:r w:rsidRPr="00DE692F">
        <w:rPr>
          <w:rFonts w:asciiTheme="minorHAnsi" w:hAnsiTheme="minorHAnsi" w:cstheme="minorHAnsi"/>
          <w:sz w:val="16"/>
          <w:szCs w:val="16"/>
          <w:lang w:val="es-PE"/>
        </w:rPr>
        <w:t xml:space="preserve"> </w:t>
      </w:r>
      <w:hyperlink r:id="rId23" w:history="1">
        <w:r w:rsidR="00236AD5" w:rsidRPr="00DE692F">
          <w:rPr>
            <w:rStyle w:val="Hipervnculo"/>
            <w:rFonts w:asciiTheme="minorHAnsi" w:hAnsiTheme="minorHAnsi" w:cstheme="minorHAnsi"/>
            <w:sz w:val="16"/>
            <w:szCs w:val="16"/>
            <w:lang w:val="es-PE"/>
          </w:rPr>
          <w:t>https://www.undp.org/es/peru/publications/documento-de-programa-pa%C3%ADs-2022-2026</w:t>
        </w:r>
      </w:hyperlink>
      <w:r w:rsidR="00236AD5" w:rsidRPr="00DE692F">
        <w:rPr>
          <w:rFonts w:asciiTheme="minorHAnsi" w:hAnsiTheme="minorHAnsi" w:cstheme="minorHAnsi"/>
          <w:sz w:val="16"/>
          <w:szCs w:val="16"/>
          <w:lang w:val="es-PE"/>
        </w:rPr>
        <w:t xml:space="preserve"> </w:t>
      </w:r>
    </w:p>
  </w:footnote>
  <w:footnote w:id="35">
    <w:p w14:paraId="5C6C62A1" w14:textId="17805D3A" w:rsidR="001D5538" w:rsidRPr="00DE692F" w:rsidRDefault="001D5538">
      <w:pPr>
        <w:pStyle w:val="Textonotapie"/>
        <w:rPr>
          <w:sz w:val="20"/>
          <w:szCs w:val="18"/>
          <w:lang w:val="es-PE"/>
        </w:rPr>
      </w:pPr>
      <w:r w:rsidRPr="00DE692F">
        <w:rPr>
          <w:rStyle w:val="Refdenotaalpie"/>
          <w:rFonts w:asciiTheme="minorHAnsi" w:hAnsiTheme="minorHAnsi" w:cstheme="minorHAnsi"/>
          <w:sz w:val="16"/>
          <w:szCs w:val="16"/>
          <w:lang w:val="es-PE"/>
        </w:rPr>
        <w:footnoteRef/>
      </w:r>
      <w:r w:rsidR="00DB71E4" w:rsidRPr="00DE692F">
        <w:rPr>
          <w:rFonts w:asciiTheme="minorHAnsi" w:hAnsiTheme="minorHAnsi" w:cstheme="minorHAnsi"/>
          <w:sz w:val="16"/>
          <w:szCs w:val="16"/>
          <w:lang w:val="es-PE"/>
        </w:rPr>
        <w:t xml:space="preserve"> </w:t>
      </w:r>
      <w:r w:rsidRPr="00DE692F">
        <w:rPr>
          <w:rFonts w:asciiTheme="minorHAnsi" w:hAnsiTheme="minorHAnsi" w:cstheme="minorHAnsi"/>
          <w:sz w:val="16"/>
          <w:szCs w:val="16"/>
          <w:lang w:val="es-PE"/>
        </w:rPr>
        <w:t>Incluir solo los logros y avances a nivel de RESULTADO, es decir lo relacionado con los componentes</w:t>
      </w:r>
      <w:r w:rsidR="00C6316C" w:rsidRPr="00DE692F">
        <w:rPr>
          <w:rFonts w:asciiTheme="minorHAnsi" w:hAnsiTheme="minorHAnsi" w:cstheme="minorHAnsi"/>
          <w:sz w:val="16"/>
          <w:szCs w:val="16"/>
          <w:lang w:val="es-PE"/>
        </w:rPr>
        <w:t xml:space="preserve">, </w:t>
      </w:r>
      <w:r w:rsidRPr="00DE692F">
        <w:rPr>
          <w:rFonts w:asciiTheme="minorHAnsi" w:hAnsiTheme="minorHAnsi" w:cstheme="minorHAnsi"/>
          <w:sz w:val="16"/>
          <w:szCs w:val="16"/>
          <w:lang w:val="es-PE"/>
        </w:rPr>
        <w:t>resultados</w:t>
      </w:r>
      <w:r w:rsidR="00C6316C" w:rsidRPr="00DE692F">
        <w:rPr>
          <w:rFonts w:asciiTheme="minorHAnsi" w:hAnsiTheme="minorHAnsi" w:cstheme="minorHAnsi"/>
          <w:sz w:val="16"/>
          <w:szCs w:val="16"/>
          <w:lang w:val="es-PE"/>
        </w:rPr>
        <w:t xml:space="preserve"> y/o</w:t>
      </w:r>
      <w:r w:rsidRPr="00DE692F">
        <w:rPr>
          <w:rFonts w:asciiTheme="minorHAnsi" w:hAnsiTheme="minorHAnsi" w:cstheme="minorHAnsi"/>
          <w:sz w:val="16"/>
          <w:szCs w:val="16"/>
          <w:lang w:val="es-PE"/>
        </w:rPr>
        <w:t xml:space="preserve"> del proyecto. No considerar el nivel de ACTIVIDADES.</w:t>
      </w:r>
    </w:p>
  </w:footnote>
  <w:footnote w:id="36">
    <w:p w14:paraId="5F71FF9F" w14:textId="77777777" w:rsidR="006D1233" w:rsidRPr="00DE692F" w:rsidRDefault="006D1233"/>
    <w:p w14:paraId="1B73E865" w14:textId="1B0B9230" w:rsidR="0009617A" w:rsidRPr="00DE692F" w:rsidRDefault="0009617A" w:rsidP="007E4326">
      <w:pPr>
        <w:rPr>
          <w:rFonts w:asciiTheme="minorHAnsi" w:hAnsiTheme="minorHAnsi" w:cstheme="minorHAnsi"/>
          <w:sz w:val="16"/>
          <w:szCs w:val="16"/>
        </w:rPr>
      </w:pPr>
    </w:p>
  </w:footnote>
  <w:footnote w:id="37">
    <w:p w14:paraId="7F1C090E" w14:textId="77777777" w:rsidR="00973680" w:rsidRPr="00DE692F" w:rsidRDefault="00973680" w:rsidP="00973680">
      <w:pPr>
        <w:widowControl w:val="0"/>
        <w:pBdr>
          <w:top w:val="nil"/>
          <w:left w:val="nil"/>
          <w:bottom w:val="nil"/>
          <w:right w:val="nil"/>
          <w:between w:val="nil"/>
        </w:pBdr>
        <w:rPr>
          <w:rFonts w:ascii="Calibri" w:eastAsia="Calibri" w:hAnsi="Calibri" w:cs="Calibri"/>
          <w:color w:val="000000"/>
          <w:sz w:val="16"/>
          <w:szCs w:val="16"/>
        </w:rPr>
      </w:pPr>
      <w:r w:rsidRPr="00DE692F">
        <w:rPr>
          <w:vertAlign w:val="superscript"/>
        </w:rPr>
        <w:footnoteRef/>
      </w:r>
      <w:r w:rsidRPr="00DE692F">
        <w:rPr>
          <w:rFonts w:ascii="Calibri" w:eastAsia="Calibri" w:hAnsi="Calibri" w:cs="Calibri"/>
          <w:color w:val="000000"/>
          <w:sz w:val="16"/>
          <w:szCs w:val="16"/>
        </w:rPr>
        <w:t xml:space="preserve"> Narrativa del hecho/suceso</w:t>
      </w:r>
    </w:p>
  </w:footnote>
  <w:footnote w:id="38">
    <w:p w14:paraId="71944BA1" w14:textId="77777777" w:rsidR="00973680" w:rsidRPr="00DE692F" w:rsidRDefault="00973680" w:rsidP="00973680">
      <w:pPr>
        <w:widowControl w:val="0"/>
        <w:pBdr>
          <w:top w:val="nil"/>
          <w:left w:val="nil"/>
          <w:bottom w:val="nil"/>
          <w:right w:val="nil"/>
          <w:between w:val="nil"/>
        </w:pBdr>
        <w:rPr>
          <w:rFonts w:ascii="Calibri" w:eastAsia="Calibri" w:hAnsi="Calibri" w:cs="Calibri"/>
          <w:color w:val="000000"/>
          <w:sz w:val="16"/>
          <w:szCs w:val="16"/>
        </w:rPr>
      </w:pPr>
      <w:r w:rsidRPr="00DE692F">
        <w:rPr>
          <w:vertAlign w:val="superscript"/>
        </w:rPr>
        <w:footnoteRef/>
      </w:r>
      <w:r w:rsidRPr="00DE692F">
        <w:rPr>
          <w:rFonts w:ascii="Calibri" w:eastAsia="Calibri" w:hAnsi="Calibri" w:cs="Calibri"/>
          <w:color w:val="000000"/>
          <w:sz w:val="16"/>
          <w:szCs w:val="16"/>
        </w:rPr>
        <w:t xml:space="preserve"> Narrativa del impacto</w:t>
      </w:r>
    </w:p>
  </w:footnote>
  <w:footnote w:id="39">
    <w:p w14:paraId="61264EE8" w14:textId="77777777" w:rsidR="00973680" w:rsidRPr="00DE692F" w:rsidRDefault="00973680" w:rsidP="00973680">
      <w:pPr>
        <w:widowControl w:val="0"/>
        <w:pBdr>
          <w:top w:val="nil"/>
          <w:left w:val="nil"/>
          <w:bottom w:val="nil"/>
          <w:right w:val="nil"/>
          <w:between w:val="nil"/>
        </w:pBdr>
        <w:rPr>
          <w:rFonts w:ascii="Calibri" w:eastAsia="Calibri" w:hAnsi="Calibri" w:cs="Calibri"/>
          <w:color w:val="000000"/>
          <w:sz w:val="16"/>
          <w:szCs w:val="16"/>
        </w:rPr>
      </w:pPr>
      <w:r w:rsidRPr="00DE692F">
        <w:rPr>
          <w:vertAlign w:val="superscript"/>
        </w:rPr>
        <w:footnoteRef/>
      </w:r>
      <w:r w:rsidRPr="00DE692F">
        <w:rPr>
          <w:rFonts w:ascii="Calibri" w:eastAsia="Calibri" w:hAnsi="Calibri" w:cs="Calibri"/>
          <w:color w:val="000000"/>
          <w:sz w:val="16"/>
          <w:szCs w:val="16"/>
        </w:rPr>
        <w:t xml:space="preserve"> Revisar Anexo 1</w:t>
      </w:r>
    </w:p>
  </w:footnote>
  <w:footnote w:id="40">
    <w:p w14:paraId="15ADF805" w14:textId="77777777" w:rsidR="00973680" w:rsidRPr="00DE692F" w:rsidRDefault="00973680" w:rsidP="00973680">
      <w:pPr>
        <w:widowControl w:val="0"/>
        <w:pBdr>
          <w:top w:val="nil"/>
          <w:left w:val="nil"/>
          <w:bottom w:val="nil"/>
          <w:right w:val="nil"/>
          <w:between w:val="nil"/>
        </w:pBdr>
        <w:rPr>
          <w:rFonts w:ascii="Calibri" w:eastAsia="Calibri" w:hAnsi="Calibri" w:cs="Calibri"/>
          <w:color w:val="000000"/>
          <w:sz w:val="16"/>
          <w:szCs w:val="16"/>
        </w:rPr>
      </w:pPr>
      <w:r w:rsidRPr="00DE692F">
        <w:rPr>
          <w:vertAlign w:val="superscript"/>
        </w:rPr>
        <w:footnoteRef/>
      </w:r>
      <w:r w:rsidRPr="00DE692F">
        <w:rPr>
          <w:rFonts w:ascii="Calibri" w:eastAsia="Calibri" w:hAnsi="Calibri" w:cs="Calibri"/>
          <w:color w:val="000000"/>
          <w:sz w:val="16"/>
          <w:szCs w:val="16"/>
        </w:rPr>
        <w:t xml:space="preserve"> No escalado – Escalamiento bajo revisión – Escalado – Des escalado</w:t>
      </w:r>
    </w:p>
  </w:footnote>
  <w:footnote w:id="41">
    <w:p w14:paraId="4E109435" w14:textId="77777777" w:rsidR="00973680" w:rsidRPr="00DE692F" w:rsidRDefault="00973680" w:rsidP="00973680">
      <w:pPr>
        <w:widowControl w:val="0"/>
        <w:pBdr>
          <w:top w:val="nil"/>
          <w:left w:val="nil"/>
          <w:bottom w:val="nil"/>
          <w:right w:val="nil"/>
          <w:between w:val="nil"/>
        </w:pBdr>
        <w:rPr>
          <w:rFonts w:ascii="Courier" w:eastAsia="Courier" w:hAnsi="Courier" w:cs="Courier"/>
          <w:color w:val="000000"/>
        </w:rPr>
      </w:pPr>
      <w:r w:rsidRPr="00DE692F">
        <w:rPr>
          <w:vertAlign w:val="superscript"/>
        </w:rPr>
        <w:footnoteRef/>
      </w:r>
      <w:r w:rsidRPr="00DE692F">
        <w:rPr>
          <w:rFonts w:ascii="Calibri" w:eastAsia="Calibri" w:hAnsi="Calibri" w:cs="Calibri"/>
          <w:color w:val="000000"/>
          <w:sz w:val="16"/>
          <w:szCs w:val="16"/>
        </w:rPr>
        <w:t xml:space="preserve"> 1: No probable – 2: Baja – 3: Moderada – 4: Alta – 5: Esperada</w:t>
      </w:r>
    </w:p>
  </w:footnote>
  <w:footnote w:id="42">
    <w:p w14:paraId="6D129E87" w14:textId="77777777" w:rsidR="00973680" w:rsidRPr="00DE692F" w:rsidRDefault="00973680" w:rsidP="00973680">
      <w:pPr>
        <w:widowControl w:val="0"/>
        <w:pBdr>
          <w:top w:val="nil"/>
          <w:left w:val="nil"/>
          <w:bottom w:val="nil"/>
          <w:right w:val="nil"/>
          <w:between w:val="nil"/>
        </w:pBdr>
        <w:rPr>
          <w:rFonts w:ascii="Calibri" w:eastAsia="Calibri" w:hAnsi="Calibri" w:cs="Calibri"/>
          <w:color w:val="000000"/>
          <w:sz w:val="16"/>
          <w:szCs w:val="16"/>
        </w:rPr>
      </w:pPr>
      <w:r w:rsidRPr="00DE692F">
        <w:rPr>
          <w:vertAlign w:val="superscript"/>
        </w:rPr>
        <w:footnoteRef/>
      </w:r>
      <w:r w:rsidRPr="00DE692F">
        <w:rPr>
          <w:rFonts w:ascii="Calibri" w:eastAsia="Calibri" w:hAnsi="Calibri" w:cs="Calibri"/>
          <w:color w:val="000000"/>
          <w:sz w:val="16"/>
          <w:szCs w:val="16"/>
        </w:rPr>
        <w:t xml:space="preserve"> 1: Limitado – 2: Bajo – 3: Moderado – 4: Alto – 5: Extremo</w:t>
      </w:r>
    </w:p>
  </w:footnote>
  <w:footnote w:id="43">
    <w:p w14:paraId="7E5882BF" w14:textId="77777777" w:rsidR="00973680" w:rsidRPr="00BE37EF" w:rsidRDefault="00973680" w:rsidP="00973680">
      <w:pPr>
        <w:widowControl w:val="0"/>
        <w:pBdr>
          <w:top w:val="nil"/>
          <w:left w:val="nil"/>
          <w:bottom w:val="nil"/>
          <w:right w:val="nil"/>
          <w:between w:val="nil"/>
        </w:pBdr>
        <w:rPr>
          <w:rFonts w:ascii="Courier" w:eastAsia="Courier" w:hAnsi="Courier" w:cs="Courier"/>
          <w:color w:val="000000"/>
          <w:lang w:val="es-ES"/>
        </w:rPr>
      </w:pPr>
      <w:r w:rsidRPr="00DE692F">
        <w:rPr>
          <w:vertAlign w:val="superscript"/>
        </w:rPr>
        <w:footnoteRef/>
      </w:r>
      <w:r w:rsidRPr="00DE692F">
        <w:rPr>
          <w:rFonts w:ascii="Calibri" w:eastAsia="Calibri" w:hAnsi="Calibri" w:cs="Calibri"/>
          <w:color w:val="000000"/>
          <w:sz w:val="16"/>
          <w:szCs w:val="16"/>
        </w:rPr>
        <w:t xml:space="preserve"> Revisar Anexo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96D"/>
    <w:multiLevelType w:val="hybridMultilevel"/>
    <w:tmpl w:val="4C18AF28"/>
    <w:lvl w:ilvl="0" w:tplc="197E65AA">
      <w:start w:val="1"/>
      <w:numFmt w:val="upperRoman"/>
      <w:lvlText w:val="%1."/>
      <w:lvlJc w:val="right"/>
      <w:pPr>
        <w:ind w:left="720" w:hanging="360"/>
      </w:pPr>
    </w:lvl>
    <w:lvl w:ilvl="1" w:tplc="BF524116">
      <w:start w:val="1"/>
      <w:numFmt w:val="lowerLetter"/>
      <w:lvlText w:val="%2."/>
      <w:lvlJc w:val="left"/>
      <w:pPr>
        <w:ind w:left="1440" w:hanging="360"/>
      </w:pPr>
    </w:lvl>
    <w:lvl w:ilvl="2" w:tplc="74347B1E">
      <w:start w:val="1"/>
      <w:numFmt w:val="lowerRoman"/>
      <w:lvlText w:val="%3."/>
      <w:lvlJc w:val="right"/>
      <w:pPr>
        <w:ind w:left="2160" w:hanging="180"/>
      </w:pPr>
    </w:lvl>
    <w:lvl w:ilvl="3" w:tplc="B51EBC3E">
      <w:start w:val="1"/>
      <w:numFmt w:val="decimal"/>
      <w:lvlText w:val="%4."/>
      <w:lvlJc w:val="left"/>
      <w:pPr>
        <w:ind w:left="2880" w:hanging="360"/>
      </w:pPr>
    </w:lvl>
    <w:lvl w:ilvl="4" w:tplc="24B80006">
      <w:start w:val="1"/>
      <w:numFmt w:val="lowerLetter"/>
      <w:lvlText w:val="%5."/>
      <w:lvlJc w:val="left"/>
      <w:pPr>
        <w:ind w:left="3600" w:hanging="360"/>
      </w:pPr>
    </w:lvl>
    <w:lvl w:ilvl="5" w:tplc="391896AA">
      <w:start w:val="1"/>
      <w:numFmt w:val="lowerRoman"/>
      <w:lvlText w:val="%6."/>
      <w:lvlJc w:val="right"/>
      <w:pPr>
        <w:ind w:left="4320" w:hanging="180"/>
      </w:pPr>
    </w:lvl>
    <w:lvl w:ilvl="6" w:tplc="94E6BE3A">
      <w:start w:val="1"/>
      <w:numFmt w:val="decimal"/>
      <w:lvlText w:val="%7."/>
      <w:lvlJc w:val="left"/>
      <w:pPr>
        <w:ind w:left="5040" w:hanging="360"/>
      </w:pPr>
    </w:lvl>
    <w:lvl w:ilvl="7" w:tplc="6422F56C">
      <w:start w:val="1"/>
      <w:numFmt w:val="lowerLetter"/>
      <w:lvlText w:val="%8."/>
      <w:lvlJc w:val="left"/>
      <w:pPr>
        <w:ind w:left="5760" w:hanging="360"/>
      </w:pPr>
    </w:lvl>
    <w:lvl w:ilvl="8" w:tplc="EDC8D742">
      <w:start w:val="1"/>
      <w:numFmt w:val="lowerRoman"/>
      <w:lvlText w:val="%9."/>
      <w:lvlJc w:val="right"/>
      <w:pPr>
        <w:ind w:left="6480" w:hanging="180"/>
      </w:pPr>
    </w:lvl>
  </w:abstractNum>
  <w:abstractNum w:abstractNumId="1" w15:restartNumberingAfterBreak="0">
    <w:nsid w:val="0498788B"/>
    <w:multiLevelType w:val="hybridMultilevel"/>
    <w:tmpl w:val="D4706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151625"/>
    <w:multiLevelType w:val="hybridMultilevel"/>
    <w:tmpl w:val="88F8FAA4"/>
    <w:lvl w:ilvl="0" w:tplc="8DC651B4">
      <w:start w:val="1"/>
      <w:numFmt w:val="lowerRoman"/>
      <w:lvlText w:val="%1."/>
      <w:lvlJc w:val="righ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3274CD"/>
    <w:multiLevelType w:val="hybridMultilevel"/>
    <w:tmpl w:val="0E182DA8"/>
    <w:lvl w:ilvl="0" w:tplc="CB40F17C">
      <w:start w:val="1"/>
      <w:numFmt w:val="decimal"/>
      <w:lvlText w:val="%1."/>
      <w:lvlJc w:val="left"/>
      <w:pPr>
        <w:ind w:left="720" w:hanging="360"/>
      </w:pPr>
    </w:lvl>
    <w:lvl w:ilvl="1" w:tplc="D7A2E390">
      <w:start w:val="1"/>
      <w:numFmt w:val="lowerLetter"/>
      <w:lvlText w:val="%2."/>
      <w:lvlJc w:val="left"/>
      <w:pPr>
        <w:ind w:left="1440" w:hanging="360"/>
      </w:pPr>
    </w:lvl>
    <w:lvl w:ilvl="2" w:tplc="8DC651B4">
      <w:start w:val="1"/>
      <w:numFmt w:val="lowerRoman"/>
      <w:lvlText w:val="%3."/>
      <w:lvlJc w:val="right"/>
      <w:pPr>
        <w:ind w:left="2160" w:hanging="180"/>
      </w:pPr>
    </w:lvl>
    <w:lvl w:ilvl="3" w:tplc="E996BE2E">
      <w:start w:val="1"/>
      <w:numFmt w:val="decimal"/>
      <w:lvlText w:val="%4."/>
      <w:lvlJc w:val="left"/>
      <w:pPr>
        <w:ind w:left="2880" w:hanging="360"/>
      </w:pPr>
    </w:lvl>
    <w:lvl w:ilvl="4" w:tplc="5B5EB334">
      <w:start w:val="1"/>
      <w:numFmt w:val="lowerLetter"/>
      <w:lvlText w:val="%5."/>
      <w:lvlJc w:val="left"/>
      <w:pPr>
        <w:ind w:left="3600" w:hanging="360"/>
      </w:pPr>
    </w:lvl>
    <w:lvl w:ilvl="5" w:tplc="7EDAD228">
      <w:start w:val="1"/>
      <w:numFmt w:val="lowerRoman"/>
      <w:lvlText w:val="%6."/>
      <w:lvlJc w:val="right"/>
      <w:pPr>
        <w:ind w:left="4320" w:hanging="180"/>
      </w:pPr>
    </w:lvl>
    <w:lvl w:ilvl="6" w:tplc="E6A6F7D6">
      <w:start w:val="1"/>
      <w:numFmt w:val="decimal"/>
      <w:lvlText w:val="%7."/>
      <w:lvlJc w:val="left"/>
      <w:pPr>
        <w:ind w:left="5040" w:hanging="360"/>
      </w:pPr>
    </w:lvl>
    <w:lvl w:ilvl="7" w:tplc="7C625940">
      <w:start w:val="1"/>
      <w:numFmt w:val="lowerLetter"/>
      <w:lvlText w:val="%8."/>
      <w:lvlJc w:val="left"/>
      <w:pPr>
        <w:ind w:left="5760" w:hanging="360"/>
      </w:pPr>
    </w:lvl>
    <w:lvl w:ilvl="8" w:tplc="46C425F6">
      <w:start w:val="1"/>
      <w:numFmt w:val="lowerRoman"/>
      <w:lvlText w:val="%9."/>
      <w:lvlJc w:val="right"/>
      <w:pPr>
        <w:ind w:left="6480" w:hanging="180"/>
      </w:pPr>
    </w:lvl>
  </w:abstractNum>
  <w:abstractNum w:abstractNumId="4" w15:restartNumberingAfterBreak="0">
    <w:nsid w:val="0E1B5F23"/>
    <w:multiLevelType w:val="hybridMultilevel"/>
    <w:tmpl w:val="18F6F074"/>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61277A5"/>
    <w:multiLevelType w:val="hybridMultilevel"/>
    <w:tmpl w:val="03E48DE0"/>
    <w:lvl w:ilvl="0" w:tplc="CD3C1F74">
      <w:start w:val="1"/>
      <w:numFmt w:val="upperRoman"/>
      <w:pStyle w:val="Ttulo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FC4987"/>
    <w:multiLevelType w:val="multilevel"/>
    <w:tmpl w:val="EAD20C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0753FB"/>
    <w:multiLevelType w:val="hybridMultilevel"/>
    <w:tmpl w:val="0B60DDEE"/>
    <w:lvl w:ilvl="0" w:tplc="4EFA38A8">
      <w:numFmt w:val="bullet"/>
      <w:lvlText w:val="-"/>
      <w:lvlJc w:val="left"/>
      <w:pPr>
        <w:ind w:left="1080" w:hanging="360"/>
      </w:pPr>
      <w:rPr>
        <w:rFonts w:ascii="Calibri" w:eastAsiaTheme="minorEastAsia"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8" w15:restartNumberingAfterBreak="0">
    <w:nsid w:val="20CF6347"/>
    <w:multiLevelType w:val="multilevel"/>
    <w:tmpl w:val="AA4CD554"/>
    <w:lvl w:ilvl="0">
      <w:start w:val="1"/>
      <w:numFmt w:val="decimal"/>
      <w:lvlText w:val="%1."/>
      <w:lvlJc w:val="left"/>
      <w:pPr>
        <w:ind w:left="360" w:hanging="360"/>
      </w:pPr>
      <w:rPr>
        <w:rFonts w:hint="default"/>
      </w:rPr>
    </w:lvl>
    <w:lvl w:ilvl="1">
      <w:start w:val="1"/>
      <w:numFmt w:val="decimal"/>
      <w:lvlText w:val="3.%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4343A7"/>
    <w:multiLevelType w:val="hybridMultilevel"/>
    <w:tmpl w:val="49721460"/>
    <w:lvl w:ilvl="0" w:tplc="AE78CC5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5887F2D"/>
    <w:multiLevelType w:val="hybridMultilevel"/>
    <w:tmpl w:val="664E13DE"/>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80215EC"/>
    <w:multiLevelType w:val="hybridMultilevel"/>
    <w:tmpl w:val="BD46BE5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82417EF"/>
    <w:multiLevelType w:val="multilevel"/>
    <w:tmpl w:val="AA72456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89C24EF"/>
    <w:multiLevelType w:val="hybridMultilevel"/>
    <w:tmpl w:val="0F34AE42"/>
    <w:lvl w:ilvl="0" w:tplc="2B9C4D2C">
      <w:numFmt w:val="bullet"/>
      <w:lvlText w:val="-"/>
      <w:lvlJc w:val="left"/>
      <w:pPr>
        <w:ind w:left="360" w:hanging="360"/>
      </w:pPr>
      <w:rPr>
        <w:rFonts w:ascii="Calibri" w:eastAsiaTheme="minorEastAsia" w:hAnsi="Calibri" w:cs="Calibri"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28EA4B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1B29D2"/>
    <w:multiLevelType w:val="multilevel"/>
    <w:tmpl w:val="D95C35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5D16AE"/>
    <w:multiLevelType w:val="hybridMultilevel"/>
    <w:tmpl w:val="6C9C32C0"/>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1371CA3"/>
    <w:multiLevelType w:val="hybridMultilevel"/>
    <w:tmpl w:val="270A240A"/>
    <w:lvl w:ilvl="0" w:tplc="280A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4EB302D"/>
    <w:multiLevelType w:val="hybridMultilevel"/>
    <w:tmpl w:val="E456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D4505"/>
    <w:multiLevelType w:val="hybridMultilevel"/>
    <w:tmpl w:val="4CF6C78A"/>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7F37988"/>
    <w:multiLevelType w:val="hybridMultilevel"/>
    <w:tmpl w:val="5F665368"/>
    <w:lvl w:ilvl="0" w:tplc="EBEE9C0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805275A"/>
    <w:multiLevelType w:val="hybridMultilevel"/>
    <w:tmpl w:val="CDB414F2"/>
    <w:lvl w:ilvl="0" w:tplc="AE78CC5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8535131"/>
    <w:multiLevelType w:val="hybridMultilevel"/>
    <w:tmpl w:val="1ACA04B6"/>
    <w:lvl w:ilvl="0" w:tplc="5B960092">
      <w:start w:val="11"/>
      <w:numFmt w:val="upperRoman"/>
      <w:lvlText w:val="%1."/>
      <w:lvlJc w:val="left"/>
      <w:pPr>
        <w:ind w:left="1080" w:hanging="720"/>
      </w:pPr>
      <w:rPr>
        <w:rFonts w:eastAsiaTheme="minorEastAsia"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8B167AA"/>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24" w15:restartNumberingAfterBreak="0">
    <w:nsid w:val="4B680FBA"/>
    <w:multiLevelType w:val="hybridMultilevel"/>
    <w:tmpl w:val="D4706840"/>
    <w:lvl w:ilvl="0" w:tplc="AE78CC5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F761E37"/>
    <w:multiLevelType w:val="hybridMultilevel"/>
    <w:tmpl w:val="B59E0C60"/>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2E55432"/>
    <w:multiLevelType w:val="hybridMultilevel"/>
    <w:tmpl w:val="9D30EA0E"/>
    <w:lvl w:ilvl="0" w:tplc="280A0001">
      <w:start w:val="1"/>
      <w:numFmt w:val="bullet"/>
      <w:lvlText w:val=""/>
      <w:lvlJc w:val="left"/>
      <w:pPr>
        <w:ind w:left="1430" w:hanging="360"/>
      </w:pPr>
      <w:rPr>
        <w:rFonts w:ascii="Symbol" w:hAnsi="Symbol" w:hint="default"/>
      </w:rPr>
    </w:lvl>
    <w:lvl w:ilvl="1" w:tplc="280A0003" w:tentative="1">
      <w:start w:val="1"/>
      <w:numFmt w:val="bullet"/>
      <w:lvlText w:val="o"/>
      <w:lvlJc w:val="left"/>
      <w:pPr>
        <w:ind w:left="2150" w:hanging="360"/>
      </w:pPr>
      <w:rPr>
        <w:rFonts w:ascii="Courier New" w:hAnsi="Courier New" w:cs="Courier New" w:hint="default"/>
      </w:rPr>
    </w:lvl>
    <w:lvl w:ilvl="2" w:tplc="280A0005" w:tentative="1">
      <w:start w:val="1"/>
      <w:numFmt w:val="bullet"/>
      <w:lvlText w:val=""/>
      <w:lvlJc w:val="left"/>
      <w:pPr>
        <w:ind w:left="2870" w:hanging="360"/>
      </w:pPr>
      <w:rPr>
        <w:rFonts w:ascii="Wingdings" w:hAnsi="Wingdings" w:hint="default"/>
      </w:rPr>
    </w:lvl>
    <w:lvl w:ilvl="3" w:tplc="280A0001" w:tentative="1">
      <w:start w:val="1"/>
      <w:numFmt w:val="bullet"/>
      <w:lvlText w:val=""/>
      <w:lvlJc w:val="left"/>
      <w:pPr>
        <w:ind w:left="3590" w:hanging="360"/>
      </w:pPr>
      <w:rPr>
        <w:rFonts w:ascii="Symbol" w:hAnsi="Symbol" w:hint="default"/>
      </w:rPr>
    </w:lvl>
    <w:lvl w:ilvl="4" w:tplc="280A0003" w:tentative="1">
      <w:start w:val="1"/>
      <w:numFmt w:val="bullet"/>
      <w:lvlText w:val="o"/>
      <w:lvlJc w:val="left"/>
      <w:pPr>
        <w:ind w:left="4310" w:hanging="360"/>
      </w:pPr>
      <w:rPr>
        <w:rFonts w:ascii="Courier New" w:hAnsi="Courier New" w:cs="Courier New" w:hint="default"/>
      </w:rPr>
    </w:lvl>
    <w:lvl w:ilvl="5" w:tplc="280A0005" w:tentative="1">
      <w:start w:val="1"/>
      <w:numFmt w:val="bullet"/>
      <w:lvlText w:val=""/>
      <w:lvlJc w:val="left"/>
      <w:pPr>
        <w:ind w:left="5030" w:hanging="360"/>
      </w:pPr>
      <w:rPr>
        <w:rFonts w:ascii="Wingdings" w:hAnsi="Wingdings" w:hint="default"/>
      </w:rPr>
    </w:lvl>
    <w:lvl w:ilvl="6" w:tplc="280A0001" w:tentative="1">
      <w:start w:val="1"/>
      <w:numFmt w:val="bullet"/>
      <w:lvlText w:val=""/>
      <w:lvlJc w:val="left"/>
      <w:pPr>
        <w:ind w:left="5750" w:hanging="360"/>
      </w:pPr>
      <w:rPr>
        <w:rFonts w:ascii="Symbol" w:hAnsi="Symbol" w:hint="default"/>
      </w:rPr>
    </w:lvl>
    <w:lvl w:ilvl="7" w:tplc="280A0003" w:tentative="1">
      <w:start w:val="1"/>
      <w:numFmt w:val="bullet"/>
      <w:lvlText w:val="o"/>
      <w:lvlJc w:val="left"/>
      <w:pPr>
        <w:ind w:left="6470" w:hanging="360"/>
      </w:pPr>
      <w:rPr>
        <w:rFonts w:ascii="Courier New" w:hAnsi="Courier New" w:cs="Courier New" w:hint="default"/>
      </w:rPr>
    </w:lvl>
    <w:lvl w:ilvl="8" w:tplc="280A0005" w:tentative="1">
      <w:start w:val="1"/>
      <w:numFmt w:val="bullet"/>
      <w:lvlText w:val=""/>
      <w:lvlJc w:val="left"/>
      <w:pPr>
        <w:ind w:left="7190" w:hanging="360"/>
      </w:pPr>
      <w:rPr>
        <w:rFonts w:ascii="Wingdings" w:hAnsi="Wingdings" w:hint="default"/>
      </w:rPr>
    </w:lvl>
  </w:abstractNum>
  <w:abstractNum w:abstractNumId="27" w15:restartNumberingAfterBreak="0">
    <w:nsid w:val="544352DC"/>
    <w:multiLevelType w:val="hybridMultilevel"/>
    <w:tmpl w:val="08A4C8CA"/>
    <w:lvl w:ilvl="0" w:tplc="67EC4808">
      <w:start w:val="1"/>
      <w:numFmt w:val="bullet"/>
      <w:lvlText w:val="•"/>
      <w:lvlJc w:val="left"/>
      <w:pPr>
        <w:tabs>
          <w:tab w:val="num" w:pos="720"/>
        </w:tabs>
        <w:ind w:left="720" w:hanging="360"/>
      </w:pPr>
      <w:rPr>
        <w:rFonts w:ascii="Arial" w:hAnsi="Arial" w:hint="default"/>
      </w:rPr>
    </w:lvl>
    <w:lvl w:ilvl="1" w:tplc="CA54A938" w:tentative="1">
      <w:start w:val="1"/>
      <w:numFmt w:val="bullet"/>
      <w:lvlText w:val="•"/>
      <w:lvlJc w:val="left"/>
      <w:pPr>
        <w:tabs>
          <w:tab w:val="num" w:pos="1440"/>
        </w:tabs>
        <w:ind w:left="1440" w:hanging="360"/>
      </w:pPr>
      <w:rPr>
        <w:rFonts w:ascii="Arial" w:hAnsi="Arial" w:hint="default"/>
      </w:rPr>
    </w:lvl>
    <w:lvl w:ilvl="2" w:tplc="70C489E4" w:tentative="1">
      <w:start w:val="1"/>
      <w:numFmt w:val="bullet"/>
      <w:lvlText w:val="•"/>
      <w:lvlJc w:val="left"/>
      <w:pPr>
        <w:tabs>
          <w:tab w:val="num" w:pos="2160"/>
        </w:tabs>
        <w:ind w:left="2160" w:hanging="360"/>
      </w:pPr>
      <w:rPr>
        <w:rFonts w:ascii="Arial" w:hAnsi="Arial" w:hint="default"/>
      </w:rPr>
    </w:lvl>
    <w:lvl w:ilvl="3" w:tplc="999A3530" w:tentative="1">
      <w:start w:val="1"/>
      <w:numFmt w:val="bullet"/>
      <w:lvlText w:val="•"/>
      <w:lvlJc w:val="left"/>
      <w:pPr>
        <w:tabs>
          <w:tab w:val="num" w:pos="2880"/>
        </w:tabs>
        <w:ind w:left="2880" w:hanging="360"/>
      </w:pPr>
      <w:rPr>
        <w:rFonts w:ascii="Arial" w:hAnsi="Arial" w:hint="default"/>
      </w:rPr>
    </w:lvl>
    <w:lvl w:ilvl="4" w:tplc="C27E0B0E" w:tentative="1">
      <w:start w:val="1"/>
      <w:numFmt w:val="bullet"/>
      <w:lvlText w:val="•"/>
      <w:lvlJc w:val="left"/>
      <w:pPr>
        <w:tabs>
          <w:tab w:val="num" w:pos="3600"/>
        </w:tabs>
        <w:ind w:left="3600" w:hanging="360"/>
      </w:pPr>
      <w:rPr>
        <w:rFonts w:ascii="Arial" w:hAnsi="Arial" w:hint="default"/>
      </w:rPr>
    </w:lvl>
    <w:lvl w:ilvl="5" w:tplc="7E8C2F78" w:tentative="1">
      <w:start w:val="1"/>
      <w:numFmt w:val="bullet"/>
      <w:lvlText w:val="•"/>
      <w:lvlJc w:val="left"/>
      <w:pPr>
        <w:tabs>
          <w:tab w:val="num" w:pos="4320"/>
        </w:tabs>
        <w:ind w:left="4320" w:hanging="360"/>
      </w:pPr>
      <w:rPr>
        <w:rFonts w:ascii="Arial" w:hAnsi="Arial" w:hint="default"/>
      </w:rPr>
    </w:lvl>
    <w:lvl w:ilvl="6" w:tplc="78E8ED9A" w:tentative="1">
      <w:start w:val="1"/>
      <w:numFmt w:val="bullet"/>
      <w:lvlText w:val="•"/>
      <w:lvlJc w:val="left"/>
      <w:pPr>
        <w:tabs>
          <w:tab w:val="num" w:pos="5040"/>
        </w:tabs>
        <w:ind w:left="5040" w:hanging="360"/>
      </w:pPr>
      <w:rPr>
        <w:rFonts w:ascii="Arial" w:hAnsi="Arial" w:hint="default"/>
      </w:rPr>
    </w:lvl>
    <w:lvl w:ilvl="7" w:tplc="E812A58E" w:tentative="1">
      <w:start w:val="1"/>
      <w:numFmt w:val="bullet"/>
      <w:lvlText w:val="•"/>
      <w:lvlJc w:val="left"/>
      <w:pPr>
        <w:tabs>
          <w:tab w:val="num" w:pos="5760"/>
        </w:tabs>
        <w:ind w:left="5760" w:hanging="360"/>
      </w:pPr>
      <w:rPr>
        <w:rFonts w:ascii="Arial" w:hAnsi="Arial" w:hint="default"/>
      </w:rPr>
    </w:lvl>
    <w:lvl w:ilvl="8" w:tplc="CB92365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65B3592"/>
    <w:multiLevelType w:val="hybridMultilevel"/>
    <w:tmpl w:val="67CC5E3A"/>
    <w:lvl w:ilvl="0" w:tplc="DA209EC4">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6CD3F32"/>
    <w:multiLevelType w:val="hybridMultilevel"/>
    <w:tmpl w:val="6220DB5C"/>
    <w:lvl w:ilvl="0" w:tplc="DB62B9E4">
      <w:start w:val="1"/>
      <w:numFmt w:val="upperRoman"/>
      <w:lvlText w:val="%1."/>
      <w:lvlJc w:val="left"/>
      <w:pPr>
        <w:ind w:left="1080" w:hanging="720"/>
      </w:pPr>
      <w:rPr>
        <w:rFonts w:hint="default"/>
        <w:b/>
        <w:bCs/>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C86482E"/>
    <w:multiLevelType w:val="hybridMultilevel"/>
    <w:tmpl w:val="9DA0A31A"/>
    <w:lvl w:ilvl="0" w:tplc="AF0E3FA6">
      <w:start w:val="1"/>
      <w:numFmt w:val="bullet"/>
      <w:lvlText w:val=""/>
      <w:lvlJc w:val="left"/>
      <w:pPr>
        <w:ind w:left="720" w:hanging="360"/>
      </w:pPr>
      <w:rPr>
        <w:rFonts w:ascii="Symbol" w:hAnsi="Symbol" w:hint="default"/>
      </w:rPr>
    </w:lvl>
    <w:lvl w:ilvl="1" w:tplc="1FC07BB4">
      <w:start w:val="1"/>
      <w:numFmt w:val="bullet"/>
      <w:lvlText w:val="o"/>
      <w:lvlJc w:val="left"/>
      <w:pPr>
        <w:ind w:left="1440" w:hanging="360"/>
      </w:pPr>
      <w:rPr>
        <w:rFonts w:ascii="Courier New" w:hAnsi="Courier New" w:hint="default"/>
      </w:rPr>
    </w:lvl>
    <w:lvl w:ilvl="2" w:tplc="42E81704">
      <w:start w:val="1"/>
      <w:numFmt w:val="bullet"/>
      <w:lvlText w:val=""/>
      <w:lvlJc w:val="left"/>
      <w:pPr>
        <w:ind w:left="2160" w:hanging="360"/>
      </w:pPr>
      <w:rPr>
        <w:rFonts w:ascii="Wingdings" w:hAnsi="Wingdings" w:hint="default"/>
      </w:rPr>
    </w:lvl>
    <w:lvl w:ilvl="3" w:tplc="59CEAA32">
      <w:start w:val="1"/>
      <w:numFmt w:val="bullet"/>
      <w:lvlText w:val=""/>
      <w:lvlJc w:val="left"/>
      <w:pPr>
        <w:ind w:left="2880" w:hanging="360"/>
      </w:pPr>
      <w:rPr>
        <w:rFonts w:ascii="Symbol" w:hAnsi="Symbol" w:hint="default"/>
      </w:rPr>
    </w:lvl>
    <w:lvl w:ilvl="4" w:tplc="CA76CFB2">
      <w:start w:val="1"/>
      <w:numFmt w:val="bullet"/>
      <w:lvlText w:val="o"/>
      <w:lvlJc w:val="left"/>
      <w:pPr>
        <w:ind w:left="3600" w:hanging="360"/>
      </w:pPr>
      <w:rPr>
        <w:rFonts w:ascii="Courier New" w:hAnsi="Courier New" w:hint="default"/>
      </w:rPr>
    </w:lvl>
    <w:lvl w:ilvl="5" w:tplc="6160F41E">
      <w:start w:val="1"/>
      <w:numFmt w:val="bullet"/>
      <w:lvlText w:val=""/>
      <w:lvlJc w:val="left"/>
      <w:pPr>
        <w:ind w:left="4320" w:hanging="360"/>
      </w:pPr>
      <w:rPr>
        <w:rFonts w:ascii="Wingdings" w:hAnsi="Wingdings" w:hint="default"/>
      </w:rPr>
    </w:lvl>
    <w:lvl w:ilvl="6" w:tplc="A5E0FB1A">
      <w:start w:val="1"/>
      <w:numFmt w:val="bullet"/>
      <w:lvlText w:val=""/>
      <w:lvlJc w:val="left"/>
      <w:pPr>
        <w:ind w:left="5040" w:hanging="360"/>
      </w:pPr>
      <w:rPr>
        <w:rFonts w:ascii="Symbol" w:hAnsi="Symbol" w:hint="default"/>
      </w:rPr>
    </w:lvl>
    <w:lvl w:ilvl="7" w:tplc="AFD65176">
      <w:start w:val="1"/>
      <w:numFmt w:val="bullet"/>
      <w:lvlText w:val="o"/>
      <w:lvlJc w:val="left"/>
      <w:pPr>
        <w:ind w:left="5760" w:hanging="360"/>
      </w:pPr>
      <w:rPr>
        <w:rFonts w:ascii="Courier New" w:hAnsi="Courier New" w:hint="default"/>
      </w:rPr>
    </w:lvl>
    <w:lvl w:ilvl="8" w:tplc="7B748BBA">
      <w:start w:val="1"/>
      <w:numFmt w:val="bullet"/>
      <w:lvlText w:val=""/>
      <w:lvlJc w:val="left"/>
      <w:pPr>
        <w:ind w:left="6480" w:hanging="360"/>
      </w:pPr>
      <w:rPr>
        <w:rFonts w:ascii="Wingdings" w:hAnsi="Wingdings" w:hint="default"/>
      </w:rPr>
    </w:lvl>
  </w:abstractNum>
  <w:abstractNum w:abstractNumId="31" w15:restartNumberingAfterBreak="0">
    <w:nsid w:val="5D2469CF"/>
    <w:multiLevelType w:val="hybridMultilevel"/>
    <w:tmpl w:val="7A8CD6E8"/>
    <w:lvl w:ilvl="0" w:tplc="B8A40F40">
      <w:start w:val="1"/>
      <w:numFmt w:val="upperRoman"/>
      <w:lvlText w:val="%1."/>
      <w:lvlJc w:val="left"/>
      <w:pPr>
        <w:ind w:left="900" w:hanging="720"/>
      </w:pPr>
      <w:rPr>
        <w:rFonts w:hint="default"/>
        <w:color w:val="00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5E90048E"/>
    <w:multiLevelType w:val="hybridMultilevel"/>
    <w:tmpl w:val="DAA0B616"/>
    <w:lvl w:ilvl="0" w:tplc="FC087848">
      <w:start w:val="1"/>
      <w:numFmt w:val="upperRoman"/>
      <w:lvlText w:val="%1."/>
      <w:lvlJc w:val="left"/>
      <w:pPr>
        <w:ind w:left="720" w:hanging="360"/>
      </w:pPr>
    </w:lvl>
    <w:lvl w:ilvl="1" w:tplc="C9E050A6">
      <w:start w:val="1"/>
      <w:numFmt w:val="lowerLetter"/>
      <w:lvlText w:val="%2."/>
      <w:lvlJc w:val="left"/>
      <w:pPr>
        <w:ind w:left="1440" w:hanging="360"/>
      </w:pPr>
    </w:lvl>
    <w:lvl w:ilvl="2" w:tplc="6718A4C0">
      <w:start w:val="1"/>
      <w:numFmt w:val="lowerRoman"/>
      <w:lvlText w:val="%3."/>
      <w:lvlJc w:val="right"/>
      <w:pPr>
        <w:ind w:left="2160" w:hanging="180"/>
      </w:pPr>
    </w:lvl>
    <w:lvl w:ilvl="3" w:tplc="C6CABA58">
      <w:start w:val="1"/>
      <w:numFmt w:val="decimal"/>
      <w:lvlText w:val="%4."/>
      <w:lvlJc w:val="left"/>
      <w:pPr>
        <w:ind w:left="2880" w:hanging="360"/>
      </w:pPr>
    </w:lvl>
    <w:lvl w:ilvl="4" w:tplc="4C0E2854">
      <w:start w:val="1"/>
      <w:numFmt w:val="lowerLetter"/>
      <w:lvlText w:val="%5."/>
      <w:lvlJc w:val="left"/>
      <w:pPr>
        <w:ind w:left="3600" w:hanging="360"/>
      </w:pPr>
    </w:lvl>
    <w:lvl w:ilvl="5" w:tplc="A43ACC4E">
      <w:start w:val="1"/>
      <w:numFmt w:val="lowerRoman"/>
      <w:lvlText w:val="%6."/>
      <w:lvlJc w:val="right"/>
      <w:pPr>
        <w:ind w:left="4320" w:hanging="180"/>
      </w:pPr>
    </w:lvl>
    <w:lvl w:ilvl="6" w:tplc="47202B30">
      <w:start w:val="1"/>
      <w:numFmt w:val="decimal"/>
      <w:lvlText w:val="%7."/>
      <w:lvlJc w:val="left"/>
      <w:pPr>
        <w:ind w:left="5040" w:hanging="360"/>
      </w:pPr>
    </w:lvl>
    <w:lvl w:ilvl="7" w:tplc="1C901B78">
      <w:start w:val="1"/>
      <w:numFmt w:val="lowerLetter"/>
      <w:lvlText w:val="%8."/>
      <w:lvlJc w:val="left"/>
      <w:pPr>
        <w:ind w:left="5760" w:hanging="360"/>
      </w:pPr>
    </w:lvl>
    <w:lvl w:ilvl="8" w:tplc="3646A8BC">
      <w:start w:val="1"/>
      <w:numFmt w:val="lowerRoman"/>
      <w:lvlText w:val="%9."/>
      <w:lvlJc w:val="right"/>
      <w:pPr>
        <w:ind w:left="6480" w:hanging="180"/>
      </w:pPr>
    </w:lvl>
  </w:abstractNum>
  <w:abstractNum w:abstractNumId="33" w15:restartNumberingAfterBreak="0">
    <w:nsid w:val="5F162A7C"/>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34" w15:restartNumberingAfterBreak="0">
    <w:nsid w:val="60E1756B"/>
    <w:multiLevelType w:val="hybridMultilevel"/>
    <w:tmpl w:val="DEBC6C86"/>
    <w:lvl w:ilvl="0" w:tplc="8DC651B4">
      <w:start w:val="1"/>
      <w:numFmt w:val="lowerRoman"/>
      <w:lvlText w:val="%1."/>
      <w:lvlJc w:val="righ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3BB43EA"/>
    <w:multiLevelType w:val="hybridMultilevel"/>
    <w:tmpl w:val="6B0E91D4"/>
    <w:lvl w:ilvl="0" w:tplc="D8F8451A">
      <w:start w:val="1"/>
      <w:numFmt w:val="upperRoman"/>
      <w:lvlText w:val="%1."/>
      <w:lvlJc w:val="right"/>
      <w:pPr>
        <w:ind w:left="720" w:hanging="360"/>
      </w:pPr>
    </w:lvl>
    <w:lvl w:ilvl="1" w:tplc="4A68D95A">
      <w:start w:val="1"/>
      <w:numFmt w:val="lowerLetter"/>
      <w:lvlText w:val="%2."/>
      <w:lvlJc w:val="left"/>
      <w:pPr>
        <w:ind w:left="1440" w:hanging="360"/>
      </w:pPr>
    </w:lvl>
    <w:lvl w:ilvl="2" w:tplc="F1B8E902">
      <w:start w:val="1"/>
      <w:numFmt w:val="lowerRoman"/>
      <w:lvlText w:val="%3."/>
      <w:lvlJc w:val="right"/>
      <w:pPr>
        <w:ind w:left="2160" w:hanging="180"/>
      </w:pPr>
    </w:lvl>
    <w:lvl w:ilvl="3" w:tplc="9BB26164">
      <w:start w:val="1"/>
      <w:numFmt w:val="decimal"/>
      <w:lvlText w:val="%4."/>
      <w:lvlJc w:val="left"/>
      <w:pPr>
        <w:ind w:left="2880" w:hanging="360"/>
      </w:pPr>
    </w:lvl>
    <w:lvl w:ilvl="4" w:tplc="9A0646D6">
      <w:start w:val="1"/>
      <w:numFmt w:val="lowerLetter"/>
      <w:lvlText w:val="%5."/>
      <w:lvlJc w:val="left"/>
      <w:pPr>
        <w:ind w:left="3600" w:hanging="360"/>
      </w:pPr>
    </w:lvl>
    <w:lvl w:ilvl="5" w:tplc="E3085BFE">
      <w:start w:val="1"/>
      <w:numFmt w:val="lowerRoman"/>
      <w:lvlText w:val="%6."/>
      <w:lvlJc w:val="right"/>
      <w:pPr>
        <w:ind w:left="4320" w:hanging="180"/>
      </w:pPr>
    </w:lvl>
    <w:lvl w:ilvl="6" w:tplc="921E07F6">
      <w:start w:val="1"/>
      <w:numFmt w:val="decimal"/>
      <w:lvlText w:val="%7."/>
      <w:lvlJc w:val="left"/>
      <w:pPr>
        <w:ind w:left="5040" w:hanging="360"/>
      </w:pPr>
    </w:lvl>
    <w:lvl w:ilvl="7" w:tplc="A6C081F2">
      <w:start w:val="1"/>
      <w:numFmt w:val="lowerLetter"/>
      <w:lvlText w:val="%8."/>
      <w:lvlJc w:val="left"/>
      <w:pPr>
        <w:ind w:left="5760" w:hanging="360"/>
      </w:pPr>
    </w:lvl>
    <w:lvl w:ilvl="8" w:tplc="BA6E85A8">
      <w:start w:val="1"/>
      <w:numFmt w:val="lowerRoman"/>
      <w:lvlText w:val="%9."/>
      <w:lvlJc w:val="right"/>
      <w:pPr>
        <w:ind w:left="6480" w:hanging="180"/>
      </w:pPr>
    </w:lvl>
  </w:abstractNum>
  <w:abstractNum w:abstractNumId="36" w15:restartNumberingAfterBreak="0">
    <w:nsid w:val="664A6518"/>
    <w:multiLevelType w:val="hybridMultilevel"/>
    <w:tmpl w:val="4704B8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67B2687C"/>
    <w:multiLevelType w:val="hybridMultilevel"/>
    <w:tmpl w:val="419EAD0A"/>
    <w:lvl w:ilvl="0" w:tplc="04B29E7C">
      <w:start w:val="1"/>
      <w:numFmt w:val="bullet"/>
      <w:lvlText w:val=""/>
      <w:lvlJc w:val="left"/>
      <w:pPr>
        <w:tabs>
          <w:tab w:val="num" w:pos="720"/>
        </w:tabs>
        <w:ind w:left="720" w:hanging="360"/>
      </w:pPr>
      <w:rPr>
        <w:rFonts w:ascii="Wingdings" w:hAnsi="Wingdings" w:hint="default"/>
      </w:rPr>
    </w:lvl>
    <w:lvl w:ilvl="1" w:tplc="8CE84C44" w:tentative="1">
      <w:start w:val="1"/>
      <w:numFmt w:val="bullet"/>
      <w:lvlText w:val=""/>
      <w:lvlJc w:val="left"/>
      <w:pPr>
        <w:tabs>
          <w:tab w:val="num" w:pos="1440"/>
        </w:tabs>
        <w:ind w:left="1440" w:hanging="360"/>
      </w:pPr>
      <w:rPr>
        <w:rFonts w:ascii="Wingdings" w:hAnsi="Wingdings" w:hint="default"/>
      </w:rPr>
    </w:lvl>
    <w:lvl w:ilvl="2" w:tplc="4E707106" w:tentative="1">
      <w:start w:val="1"/>
      <w:numFmt w:val="bullet"/>
      <w:lvlText w:val=""/>
      <w:lvlJc w:val="left"/>
      <w:pPr>
        <w:tabs>
          <w:tab w:val="num" w:pos="2160"/>
        </w:tabs>
        <w:ind w:left="2160" w:hanging="360"/>
      </w:pPr>
      <w:rPr>
        <w:rFonts w:ascii="Wingdings" w:hAnsi="Wingdings" w:hint="default"/>
      </w:rPr>
    </w:lvl>
    <w:lvl w:ilvl="3" w:tplc="888E56A6" w:tentative="1">
      <w:start w:val="1"/>
      <w:numFmt w:val="bullet"/>
      <w:lvlText w:val=""/>
      <w:lvlJc w:val="left"/>
      <w:pPr>
        <w:tabs>
          <w:tab w:val="num" w:pos="2880"/>
        </w:tabs>
        <w:ind w:left="2880" w:hanging="360"/>
      </w:pPr>
      <w:rPr>
        <w:rFonts w:ascii="Wingdings" w:hAnsi="Wingdings" w:hint="default"/>
      </w:rPr>
    </w:lvl>
    <w:lvl w:ilvl="4" w:tplc="9C0AC828" w:tentative="1">
      <w:start w:val="1"/>
      <w:numFmt w:val="bullet"/>
      <w:lvlText w:val=""/>
      <w:lvlJc w:val="left"/>
      <w:pPr>
        <w:tabs>
          <w:tab w:val="num" w:pos="3600"/>
        </w:tabs>
        <w:ind w:left="3600" w:hanging="360"/>
      </w:pPr>
      <w:rPr>
        <w:rFonts w:ascii="Wingdings" w:hAnsi="Wingdings" w:hint="default"/>
      </w:rPr>
    </w:lvl>
    <w:lvl w:ilvl="5" w:tplc="18AE380C" w:tentative="1">
      <w:start w:val="1"/>
      <w:numFmt w:val="bullet"/>
      <w:lvlText w:val=""/>
      <w:lvlJc w:val="left"/>
      <w:pPr>
        <w:tabs>
          <w:tab w:val="num" w:pos="4320"/>
        </w:tabs>
        <w:ind w:left="4320" w:hanging="360"/>
      </w:pPr>
      <w:rPr>
        <w:rFonts w:ascii="Wingdings" w:hAnsi="Wingdings" w:hint="default"/>
      </w:rPr>
    </w:lvl>
    <w:lvl w:ilvl="6" w:tplc="6E24D226" w:tentative="1">
      <w:start w:val="1"/>
      <w:numFmt w:val="bullet"/>
      <w:lvlText w:val=""/>
      <w:lvlJc w:val="left"/>
      <w:pPr>
        <w:tabs>
          <w:tab w:val="num" w:pos="5040"/>
        </w:tabs>
        <w:ind w:left="5040" w:hanging="360"/>
      </w:pPr>
      <w:rPr>
        <w:rFonts w:ascii="Wingdings" w:hAnsi="Wingdings" w:hint="default"/>
      </w:rPr>
    </w:lvl>
    <w:lvl w:ilvl="7" w:tplc="7E2AA8CE" w:tentative="1">
      <w:start w:val="1"/>
      <w:numFmt w:val="bullet"/>
      <w:lvlText w:val=""/>
      <w:lvlJc w:val="left"/>
      <w:pPr>
        <w:tabs>
          <w:tab w:val="num" w:pos="5760"/>
        </w:tabs>
        <w:ind w:left="5760" w:hanging="360"/>
      </w:pPr>
      <w:rPr>
        <w:rFonts w:ascii="Wingdings" w:hAnsi="Wingdings" w:hint="default"/>
      </w:rPr>
    </w:lvl>
    <w:lvl w:ilvl="8" w:tplc="84EAA92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E33566"/>
    <w:multiLevelType w:val="multilevel"/>
    <w:tmpl w:val="A2C4B60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AF742E3"/>
    <w:multiLevelType w:val="multilevel"/>
    <w:tmpl w:val="D36A12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D756CDE"/>
    <w:multiLevelType w:val="hybridMultilevel"/>
    <w:tmpl w:val="2FE24D9E"/>
    <w:lvl w:ilvl="0" w:tplc="C130C3B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2AF779D"/>
    <w:multiLevelType w:val="hybridMultilevel"/>
    <w:tmpl w:val="13E831D8"/>
    <w:lvl w:ilvl="0" w:tplc="8988914C">
      <w:start w:val="1"/>
      <w:numFmt w:val="bullet"/>
      <w:lvlText w:val=""/>
      <w:lvlJc w:val="left"/>
      <w:pPr>
        <w:tabs>
          <w:tab w:val="num" w:pos="720"/>
        </w:tabs>
        <w:ind w:left="720" w:hanging="360"/>
      </w:pPr>
      <w:rPr>
        <w:rFonts w:ascii="Wingdings" w:hAnsi="Wingdings" w:hint="default"/>
      </w:rPr>
    </w:lvl>
    <w:lvl w:ilvl="1" w:tplc="73889C32" w:tentative="1">
      <w:start w:val="1"/>
      <w:numFmt w:val="bullet"/>
      <w:lvlText w:val=""/>
      <w:lvlJc w:val="left"/>
      <w:pPr>
        <w:tabs>
          <w:tab w:val="num" w:pos="1440"/>
        </w:tabs>
        <w:ind w:left="1440" w:hanging="360"/>
      </w:pPr>
      <w:rPr>
        <w:rFonts w:ascii="Wingdings" w:hAnsi="Wingdings" w:hint="default"/>
      </w:rPr>
    </w:lvl>
    <w:lvl w:ilvl="2" w:tplc="D8524102" w:tentative="1">
      <w:start w:val="1"/>
      <w:numFmt w:val="bullet"/>
      <w:lvlText w:val=""/>
      <w:lvlJc w:val="left"/>
      <w:pPr>
        <w:tabs>
          <w:tab w:val="num" w:pos="2160"/>
        </w:tabs>
        <w:ind w:left="2160" w:hanging="360"/>
      </w:pPr>
      <w:rPr>
        <w:rFonts w:ascii="Wingdings" w:hAnsi="Wingdings" w:hint="default"/>
      </w:rPr>
    </w:lvl>
    <w:lvl w:ilvl="3" w:tplc="574A36A4" w:tentative="1">
      <w:start w:val="1"/>
      <w:numFmt w:val="bullet"/>
      <w:lvlText w:val=""/>
      <w:lvlJc w:val="left"/>
      <w:pPr>
        <w:tabs>
          <w:tab w:val="num" w:pos="2880"/>
        </w:tabs>
        <w:ind w:left="2880" w:hanging="360"/>
      </w:pPr>
      <w:rPr>
        <w:rFonts w:ascii="Wingdings" w:hAnsi="Wingdings" w:hint="default"/>
      </w:rPr>
    </w:lvl>
    <w:lvl w:ilvl="4" w:tplc="A16AFE90" w:tentative="1">
      <w:start w:val="1"/>
      <w:numFmt w:val="bullet"/>
      <w:lvlText w:val=""/>
      <w:lvlJc w:val="left"/>
      <w:pPr>
        <w:tabs>
          <w:tab w:val="num" w:pos="3600"/>
        </w:tabs>
        <w:ind w:left="3600" w:hanging="360"/>
      </w:pPr>
      <w:rPr>
        <w:rFonts w:ascii="Wingdings" w:hAnsi="Wingdings" w:hint="default"/>
      </w:rPr>
    </w:lvl>
    <w:lvl w:ilvl="5" w:tplc="8EB8A21A" w:tentative="1">
      <w:start w:val="1"/>
      <w:numFmt w:val="bullet"/>
      <w:lvlText w:val=""/>
      <w:lvlJc w:val="left"/>
      <w:pPr>
        <w:tabs>
          <w:tab w:val="num" w:pos="4320"/>
        </w:tabs>
        <w:ind w:left="4320" w:hanging="360"/>
      </w:pPr>
      <w:rPr>
        <w:rFonts w:ascii="Wingdings" w:hAnsi="Wingdings" w:hint="default"/>
      </w:rPr>
    </w:lvl>
    <w:lvl w:ilvl="6" w:tplc="508A26E2" w:tentative="1">
      <w:start w:val="1"/>
      <w:numFmt w:val="bullet"/>
      <w:lvlText w:val=""/>
      <w:lvlJc w:val="left"/>
      <w:pPr>
        <w:tabs>
          <w:tab w:val="num" w:pos="5040"/>
        </w:tabs>
        <w:ind w:left="5040" w:hanging="360"/>
      </w:pPr>
      <w:rPr>
        <w:rFonts w:ascii="Wingdings" w:hAnsi="Wingdings" w:hint="default"/>
      </w:rPr>
    </w:lvl>
    <w:lvl w:ilvl="7" w:tplc="F0160C12" w:tentative="1">
      <w:start w:val="1"/>
      <w:numFmt w:val="bullet"/>
      <w:lvlText w:val=""/>
      <w:lvlJc w:val="left"/>
      <w:pPr>
        <w:tabs>
          <w:tab w:val="num" w:pos="5760"/>
        </w:tabs>
        <w:ind w:left="5760" w:hanging="360"/>
      </w:pPr>
      <w:rPr>
        <w:rFonts w:ascii="Wingdings" w:hAnsi="Wingdings" w:hint="default"/>
      </w:rPr>
    </w:lvl>
    <w:lvl w:ilvl="8" w:tplc="7436987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CE0B7C"/>
    <w:multiLevelType w:val="hybridMultilevel"/>
    <w:tmpl w:val="BD46B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4A404F4"/>
    <w:multiLevelType w:val="hybridMultilevel"/>
    <w:tmpl w:val="4FCE193A"/>
    <w:lvl w:ilvl="0" w:tplc="3424D4E8">
      <w:numFmt w:val="bullet"/>
      <w:lvlText w:val="-"/>
      <w:lvlJc w:val="left"/>
      <w:pPr>
        <w:ind w:left="72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5651735"/>
    <w:multiLevelType w:val="hybridMultilevel"/>
    <w:tmpl w:val="FFFFFFFF"/>
    <w:lvl w:ilvl="0" w:tplc="ED18351C">
      <w:start w:val="1"/>
      <w:numFmt w:val="bullet"/>
      <w:lvlText w:val=""/>
      <w:lvlJc w:val="left"/>
      <w:pPr>
        <w:ind w:left="720" w:hanging="360"/>
      </w:pPr>
      <w:rPr>
        <w:rFonts w:ascii="Symbol" w:hAnsi="Symbol" w:hint="default"/>
      </w:rPr>
    </w:lvl>
    <w:lvl w:ilvl="1" w:tplc="E3E8E62C">
      <w:start w:val="1"/>
      <w:numFmt w:val="bullet"/>
      <w:lvlText w:val="o"/>
      <w:lvlJc w:val="left"/>
      <w:pPr>
        <w:ind w:left="1440" w:hanging="360"/>
      </w:pPr>
      <w:rPr>
        <w:rFonts w:ascii="Courier New" w:hAnsi="Courier New" w:hint="default"/>
      </w:rPr>
    </w:lvl>
    <w:lvl w:ilvl="2" w:tplc="C6C617B8">
      <w:start w:val="1"/>
      <w:numFmt w:val="bullet"/>
      <w:lvlText w:val=""/>
      <w:lvlJc w:val="left"/>
      <w:pPr>
        <w:ind w:left="2160" w:hanging="360"/>
      </w:pPr>
      <w:rPr>
        <w:rFonts w:ascii="Wingdings" w:hAnsi="Wingdings" w:hint="default"/>
      </w:rPr>
    </w:lvl>
    <w:lvl w:ilvl="3" w:tplc="3B9C206E">
      <w:start w:val="1"/>
      <w:numFmt w:val="bullet"/>
      <w:lvlText w:val=""/>
      <w:lvlJc w:val="left"/>
      <w:pPr>
        <w:ind w:left="2880" w:hanging="360"/>
      </w:pPr>
      <w:rPr>
        <w:rFonts w:ascii="Symbol" w:hAnsi="Symbol" w:hint="default"/>
      </w:rPr>
    </w:lvl>
    <w:lvl w:ilvl="4" w:tplc="7FF69528">
      <w:start w:val="1"/>
      <w:numFmt w:val="bullet"/>
      <w:lvlText w:val="o"/>
      <w:lvlJc w:val="left"/>
      <w:pPr>
        <w:ind w:left="3600" w:hanging="360"/>
      </w:pPr>
      <w:rPr>
        <w:rFonts w:ascii="Courier New" w:hAnsi="Courier New" w:hint="default"/>
      </w:rPr>
    </w:lvl>
    <w:lvl w:ilvl="5" w:tplc="865E4362">
      <w:start w:val="1"/>
      <w:numFmt w:val="bullet"/>
      <w:lvlText w:val=""/>
      <w:lvlJc w:val="left"/>
      <w:pPr>
        <w:ind w:left="4320" w:hanging="360"/>
      </w:pPr>
      <w:rPr>
        <w:rFonts w:ascii="Wingdings" w:hAnsi="Wingdings" w:hint="default"/>
      </w:rPr>
    </w:lvl>
    <w:lvl w:ilvl="6" w:tplc="5650D0A2">
      <w:start w:val="1"/>
      <w:numFmt w:val="bullet"/>
      <w:lvlText w:val=""/>
      <w:lvlJc w:val="left"/>
      <w:pPr>
        <w:ind w:left="5040" w:hanging="360"/>
      </w:pPr>
      <w:rPr>
        <w:rFonts w:ascii="Symbol" w:hAnsi="Symbol" w:hint="default"/>
      </w:rPr>
    </w:lvl>
    <w:lvl w:ilvl="7" w:tplc="8222ED40">
      <w:start w:val="1"/>
      <w:numFmt w:val="bullet"/>
      <w:lvlText w:val="o"/>
      <w:lvlJc w:val="left"/>
      <w:pPr>
        <w:ind w:left="5760" w:hanging="360"/>
      </w:pPr>
      <w:rPr>
        <w:rFonts w:ascii="Courier New" w:hAnsi="Courier New" w:hint="default"/>
      </w:rPr>
    </w:lvl>
    <w:lvl w:ilvl="8" w:tplc="6DE08890">
      <w:start w:val="1"/>
      <w:numFmt w:val="bullet"/>
      <w:lvlText w:val=""/>
      <w:lvlJc w:val="left"/>
      <w:pPr>
        <w:ind w:left="6480" w:hanging="360"/>
      </w:pPr>
      <w:rPr>
        <w:rFonts w:ascii="Wingdings" w:hAnsi="Wingdings" w:hint="default"/>
      </w:rPr>
    </w:lvl>
  </w:abstractNum>
  <w:abstractNum w:abstractNumId="45" w15:restartNumberingAfterBreak="0">
    <w:nsid w:val="77025A53"/>
    <w:multiLevelType w:val="hybridMultilevel"/>
    <w:tmpl w:val="E624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7B43F5"/>
    <w:multiLevelType w:val="hybridMultilevel"/>
    <w:tmpl w:val="7E342784"/>
    <w:lvl w:ilvl="0" w:tplc="4994027E">
      <w:start w:val="1"/>
      <w:numFmt w:val="bullet"/>
      <w:lvlText w:val="•"/>
      <w:lvlJc w:val="left"/>
      <w:pPr>
        <w:tabs>
          <w:tab w:val="num" w:pos="720"/>
        </w:tabs>
        <w:ind w:left="720" w:hanging="360"/>
      </w:pPr>
      <w:rPr>
        <w:rFonts w:ascii="Arial" w:hAnsi="Arial" w:hint="default"/>
      </w:rPr>
    </w:lvl>
    <w:lvl w:ilvl="1" w:tplc="1C205824" w:tentative="1">
      <w:start w:val="1"/>
      <w:numFmt w:val="bullet"/>
      <w:lvlText w:val="•"/>
      <w:lvlJc w:val="left"/>
      <w:pPr>
        <w:tabs>
          <w:tab w:val="num" w:pos="1440"/>
        </w:tabs>
        <w:ind w:left="1440" w:hanging="360"/>
      </w:pPr>
      <w:rPr>
        <w:rFonts w:ascii="Arial" w:hAnsi="Arial" w:hint="default"/>
      </w:rPr>
    </w:lvl>
    <w:lvl w:ilvl="2" w:tplc="D07CCC4E" w:tentative="1">
      <w:start w:val="1"/>
      <w:numFmt w:val="bullet"/>
      <w:lvlText w:val="•"/>
      <w:lvlJc w:val="left"/>
      <w:pPr>
        <w:tabs>
          <w:tab w:val="num" w:pos="2160"/>
        </w:tabs>
        <w:ind w:left="2160" w:hanging="360"/>
      </w:pPr>
      <w:rPr>
        <w:rFonts w:ascii="Arial" w:hAnsi="Arial" w:hint="default"/>
      </w:rPr>
    </w:lvl>
    <w:lvl w:ilvl="3" w:tplc="61EAB114" w:tentative="1">
      <w:start w:val="1"/>
      <w:numFmt w:val="bullet"/>
      <w:lvlText w:val="•"/>
      <w:lvlJc w:val="left"/>
      <w:pPr>
        <w:tabs>
          <w:tab w:val="num" w:pos="2880"/>
        </w:tabs>
        <w:ind w:left="2880" w:hanging="360"/>
      </w:pPr>
      <w:rPr>
        <w:rFonts w:ascii="Arial" w:hAnsi="Arial" w:hint="default"/>
      </w:rPr>
    </w:lvl>
    <w:lvl w:ilvl="4" w:tplc="D5CA2214" w:tentative="1">
      <w:start w:val="1"/>
      <w:numFmt w:val="bullet"/>
      <w:lvlText w:val="•"/>
      <w:lvlJc w:val="left"/>
      <w:pPr>
        <w:tabs>
          <w:tab w:val="num" w:pos="3600"/>
        </w:tabs>
        <w:ind w:left="3600" w:hanging="360"/>
      </w:pPr>
      <w:rPr>
        <w:rFonts w:ascii="Arial" w:hAnsi="Arial" w:hint="default"/>
      </w:rPr>
    </w:lvl>
    <w:lvl w:ilvl="5" w:tplc="B548285C" w:tentative="1">
      <w:start w:val="1"/>
      <w:numFmt w:val="bullet"/>
      <w:lvlText w:val="•"/>
      <w:lvlJc w:val="left"/>
      <w:pPr>
        <w:tabs>
          <w:tab w:val="num" w:pos="4320"/>
        </w:tabs>
        <w:ind w:left="4320" w:hanging="360"/>
      </w:pPr>
      <w:rPr>
        <w:rFonts w:ascii="Arial" w:hAnsi="Arial" w:hint="default"/>
      </w:rPr>
    </w:lvl>
    <w:lvl w:ilvl="6" w:tplc="9DA2D4FC" w:tentative="1">
      <w:start w:val="1"/>
      <w:numFmt w:val="bullet"/>
      <w:lvlText w:val="•"/>
      <w:lvlJc w:val="left"/>
      <w:pPr>
        <w:tabs>
          <w:tab w:val="num" w:pos="5040"/>
        </w:tabs>
        <w:ind w:left="5040" w:hanging="360"/>
      </w:pPr>
      <w:rPr>
        <w:rFonts w:ascii="Arial" w:hAnsi="Arial" w:hint="default"/>
      </w:rPr>
    </w:lvl>
    <w:lvl w:ilvl="7" w:tplc="5EF096D8" w:tentative="1">
      <w:start w:val="1"/>
      <w:numFmt w:val="bullet"/>
      <w:lvlText w:val="•"/>
      <w:lvlJc w:val="left"/>
      <w:pPr>
        <w:tabs>
          <w:tab w:val="num" w:pos="5760"/>
        </w:tabs>
        <w:ind w:left="5760" w:hanging="360"/>
      </w:pPr>
      <w:rPr>
        <w:rFonts w:ascii="Arial" w:hAnsi="Arial" w:hint="default"/>
      </w:rPr>
    </w:lvl>
    <w:lvl w:ilvl="8" w:tplc="6116E886"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D370777"/>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D673AF4"/>
    <w:multiLevelType w:val="hybridMultilevel"/>
    <w:tmpl w:val="B450D032"/>
    <w:lvl w:ilvl="0" w:tplc="2B9C4D2C">
      <w:numFmt w:val="bullet"/>
      <w:lvlText w:val="-"/>
      <w:lvlJc w:val="left"/>
      <w:pPr>
        <w:ind w:left="36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12189396">
    <w:abstractNumId w:val="44"/>
  </w:num>
  <w:num w:numId="2" w16cid:durableId="204097784">
    <w:abstractNumId w:val="3"/>
  </w:num>
  <w:num w:numId="3" w16cid:durableId="431323017">
    <w:abstractNumId w:val="33"/>
  </w:num>
  <w:num w:numId="4" w16cid:durableId="421266102">
    <w:abstractNumId w:val="32"/>
  </w:num>
  <w:num w:numId="5" w16cid:durableId="854656682">
    <w:abstractNumId w:val="30"/>
  </w:num>
  <w:num w:numId="6" w16cid:durableId="1576357516">
    <w:abstractNumId w:val="35"/>
  </w:num>
  <w:num w:numId="7" w16cid:durableId="389307532">
    <w:abstractNumId w:val="0"/>
  </w:num>
  <w:num w:numId="8" w16cid:durableId="942424621">
    <w:abstractNumId w:val="5"/>
  </w:num>
  <w:num w:numId="9" w16cid:durableId="108284295">
    <w:abstractNumId w:val="31"/>
  </w:num>
  <w:num w:numId="10" w16cid:durableId="178279603">
    <w:abstractNumId w:val="23"/>
  </w:num>
  <w:num w:numId="11" w16cid:durableId="328598167">
    <w:abstractNumId w:val="45"/>
  </w:num>
  <w:num w:numId="12" w16cid:durableId="476073234">
    <w:abstractNumId w:val="14"/>
  </w:num>
  <w:num w:numId="13" w16cid:durableId="2104371573">
    <w:abstractNumId w:val="12"/>
  </w:num>
  <w:num w:numId="14" w16cid:durableId="706565120">
    <w:abstractNumId w:val="8"/>
  </w:num>
  <w:num w:numId="15" w16cid:durableId="1305164463">
    <w:abstractNumId w:val="15"/>
  </w:num>
  <w:num w:numId="16" w16cid:durableId="509611552">
    <w:abstractNumId w:val="6"/>
  </w:num>
  <w:num w:numId="17" w16cid:durableId="464928781">
    <w:abstractNumId w:val="38"/>
  </w:num>
  <w:num w:numId="18" w16cid:durableId="2022587019">
    <w:abstractNumId w:val="39"/>
  </w:num>
  <w:num w:numId="19" w16cid:durableId="1492061290">
    <w:abstractNumId w:val="20"/>
  </w:num>
  <w:num w:numId="20" w16cid:durableId="432362101">
    <w:abstractNumId w:val="18"/>
  </w:num>
  <w:num w:numId="21" w16cid:durableId="575283764">
    <w:abstractNumId w:val="29"/>
  </w:num>
  <w:num w:numId="22" w16cid:durableId="1308627717">
    <w:abstractNumId w:val="36"/>
  </w:num>
  <w:num w:numId="23" w16cid:durableId="1687512533">
    <w:abstractNumId w:val="28"/>
  </w:num>
  <w:num w:numId="24" w16cid:durableId="302463797">
    <w:abstractNumId w:val="7"/>
  </w:num>
  <w:num w:numId="25" w16cid:durableId="619844366">
    <w:abstractNumId w:val="22"/>
  </w:num>
  <w:num w:numId="26" w16cid:durableId="1486824664">
    <w:abstractNumId w:val="43"/>
  </w:num>
  <w:num w:numId="27" w16cid:durableId="574241038">
    <w:abstractNumId w:val="47"/>
  </w:num>
  <w:num w:numId="28" w16cid:durableId="388118726">
    <w:abstractNumId w:val="26"/>
  </w:num>
  <w:num w:numId="29" w16cid:durableId="2143116265">
    <w:abstractNumId w:val="37"/>
  </w:num>
  <w:num w:numId="30" w16cid:durableId="1596863011">
    <w:abstractNumId w:val="13"/>
  </w:num>
  <w:num w:numId="31" w16cid:durableId="643975705">
    <w:abstractNumId w:val="40"/>
  </w:num>
  <w:num w:numId="32" w16cid:durableId="530218498">
    <w:abstractNumId w:val="21"/>
  </w:num>
  <w:num w:numId="33" w16cid:durableId="2145654573">
    <w:abstractNumId w:val="24"/>
  </w:num>
  <w:num w:numId="34" w16cid:durableId="1294753719">
    <w:abstractNumId w:val="1"/>
  </w:num>
  <w:num w:numId="35" w16cid:durableId="2071996222">
    <w:abstractNumId w:val="9"/>
  </w:num>
  <w:num w:numId="36" w16cid:durableId="190650273">
    <w:abstractNumId w:val="16"/>
  </w:num>
  <w:num w:numId="37" w16cid:durableId="1616404539">
    <w:abstractNumId w:val="34"/>
  </w:num>
  <w:num w:numId="38" w16cid:durableId="817847797">
    <w:abstractNumId w:val="19"/>
  </w:num>
  <w:num w:numId="39" w16cid:durableId="1950501792">
    <w:abstractNumId w:val="48"/>
  </w:num>
  <w:num w:numId="40" w16cid:durableId="791900565">
    <w:abstractNumId w:val="27"/>
  </w:num>
  <w:num w:numId="41" w16cid:durableId="343017715">
    <w:abstractNumId w:val="4"/>
  </w:num>
  <w:num w:numId="42" w16cid:durableId="702481870">
    <w:abstractNumId w:val="25"/>
  </w:num>
  <w:num w:numId="43" w16cid:durableId="1115828201">
    <w:abstractNumId w:val="2"/>
  </w:num>
  <w:num w:numId="44" w16cid:durableId="1215652180">
    <w:abstractNumId w:val="17"/>
  </w:num>
  <w:num w:numId="45" w16cid:durableId="182406170">
    <w:abstractNumId w:val="41"/>
  </w:num>
  <w:num w:numId="46" w16cid:durableId="945625585">
    <w:abstractNumId w:val="11"/>
  </w:num>
  <w:num w:numId="47" w16cid:durableId="1828397473">
    <w:abstractNumId w:val="46"/>
  </w:num>
  <w:num w:numId="48" w16cid:durableId="1367102170">
    <w:abstractNumId w:val="42"/>
  </w:num>
  <w:num w:numId="49" w16cid:durableId="622465912">
    <w:abstractNumId w:val="1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son Hospina">
    <w15:presenceInfo w15:providerId="AD" w15:userId="S::alison.hospina@undp.org::386de67a-7ebf-4a41-98c5-6a7e2cf13a62"/>
  </w15:person>
  <w15:person w15:author="José Martín Marquez Flores">
    <w15:presenceInfo w15:providerId="AD" w15:userId="S-1-5-21-1597307029-1899206718-924325458-20129"/>
  </w15:person>
  <w15:person w15:author="Claudia Karina Santos Galindo">
    <w15:presenceInfo w15:providerId="AD" w15:userId="S-1-5-21-1597307029-1899206718-924325458-214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gutterAtTop/>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3CF"/>
    <w:rsid w:val="000017C7"/>
    <w:rsid w:val="00001C8E"/>
    <w:rsid w:val="000039F8"/>
    <w:rsid w:val="000044A6"/>
    <w:rsid w:val="00004AB0"/>
    <w:rsid w:val="00004FD3"/>
    <w:rsid w:val="0000552B"/>
    <w:rsid w:val="000057AA"/>
    <w:rsid w:val="00005916"/>
    <w:rsid w:val="00006394"/>
    <w:rsid w:val="00006F94"/>
    <w:rsid w:val="00007FBF"/>
    <w:rsid w:val="00010AD4"/>
    <w:rsid w:val="00010C29"/>
    <w:rsid w:val="00011534"/>
    <w:rsid w:val="00011C40"/>
    <w:rsid w:val="00012892"/>
    <w:rsid w:val="0001299D"/>
    <w:rsid w:val="00013210"/>
    <w:rsid w:val="00013303"/>
    <w:rsid w:val="00013773"/>
    <w:rsid w:val="00013AC4"/>
    <w:rsid w:val="00013B05"/>
    <w:rsid w:val="00013FEF"/>
    <w:rsid w:val="00014B8F"/>
    <w:rsid w:val="00015111"/>
    <w:rsid w:val="0001554D"/>
    <w:rsid w:val="00015565"/>
    <w:rsid w:val="0001583E"/>
    <w:rsid w:val="000158B5"/>
    <w:rsid w:val="000161C7"/>
    <w:rsid w:val="00020224"/>
    <w:rsid w:val="00020269"/>
    <w:rsid w:val="000203DC"/>
    <w:rsid w:val="0002048F"/>
    <w:rsid w:val="0002092F"/>
    <w:rsid w:val="00022DE9"/>
    <w:rsid w:val="000232A6"/>
    <w:rsid w:val="0002335C"/>
    <w:rsid w:val="000241EE"/>
    <w:rsid w:val="00024EA7"/>
    <w:rsid w:val="00025062"/>
    <w:rsid w:val="00026692"/>
    <w:rsid w:val="00026A62"/>
    <w:rsid w:val="00027094"/>
    <w:rsid w:val="0002730B"/>
    <w:rsid w:val="000273AF"/>
    <w:rsid w:val="000309C9"/>
    <w:rsid w:val="00030F5D"/>
    <w:rsid w:val="000313F9"/>
    <w:rsid w:val="00031434"/>
    <w:rsid w:val="00031E16"/>
    <w:rsid w:val="00031FDA"/>
    <w:rsid w:val="0003217E"/>
    <w:rsid w:val="00032247"/>
    <w:rsid w:val="000323EB"/>
    <w:rsid w:val="000330FE"/>
    <w:rsid w:val="00034032"/>
    <w:rsid w:val="00034216"/>
    <w:rsid w:val="00034642"/>
    <w:rsid w:val="000347FC"/>
    <w:rsid w:val="000348F7"/>
    <w:rsid w:val="00035741"/>
    <w:rsid w:val="00036685"/>
    <w:rsid w:val="000367C1"/>
    <w:rsid w:val="00037AF7"/>
    <w:rsid w:val="00040142"/>
    <w:rsid w:val="00040D1D"/>
    <w:rsid w:val="00040F1A"/>
    <w:rsid w:val="000413ED"/>
    <w:rsid w:val="00041DBF"/>
    <w:rsid w:val="00042C88"/>
    <w:rsid w:val="00043CF4"/>
    <w:rsid w:val="00043D94"/>
    <w:rsid w:val="00043E02"/>
    <w:rsid w:val="00044654"/>
    <w:rsid w:val="00044655"/>
    <w:rsid w:val="00044B6A"/>
    <w:rsid w:val="00045194"/>
    <w:rsid w:val="000457DD"/>
    <w:rsid w:val="0004636B"/>
    <w:rsid w:val="000467AA"/>
    <w:rsid w:val="00046E8C"/>
    <w:rsid w:val="00046EAD"/>
    <w:rsid w:val="00047D12"/>
    <w:rsid w:val="00050D8F"/>
    <w:rsid w:val="0005106F"/>
    <w:rsid w:val="00051478"/>
    <w:rsid w:val="000515C5"/>
    <w:rsid w:val="0005168C"/>
    <w:rsid w:val="000521AB"/>
    <w:rsid w:val="00052376"/>
    <w:rsid w:val="00053066"/>
    <w:rsid w:val="00053369"/>
    <w:rsid w:val="00053416"/>
    <w:rsid w:val="00053C4C"/>
    <w:rsid w:val="00053DE5"/>
    <w:rsid w:val="00054A6E"/>
    <w:rsid w:val="00054C7B"/>
    <w:rsid w:val="00054E97"/>
    <w:rsid w:val="00055230"/>
    <w:rsid w:val="00055972"/>
    <w:rsid w:val="000561EA"/>
    <w:rsid w:val="00056A0E"/>
    <w:rsid w:val="00057A3D"/>
    <w:rsid w:val="00057DFF"/>
    <w:rsid w:val="00060524"/>
    <w:rsid w:val="00060B92"/>
    <w:rsid w:val="000613E8"/>
    <w:rsid w:val="00061C18"/>
    <w:rsid w:val="00062E78"/>
    <w:rsid w:val="0006342B"/>
    <w:rsid w:val="000643A1"/>
    <w:rsid w:val="00064683"/>
    <w:rsid w:val="0006487B"/>
    <w:rsid w:val="00064C24"/>
    <w:rsid w:val="00064F1C"/>
    <w:rsid w:val="000662E3"/>
    <w:rsid w:val="000664CC"/>
    <w:rsid w:val="00067139"/>
    <w:rsid w:val="000671A6"/>
    <w:rsid w:val="00067B45"/>
    <w:rsid w:val="00067C2D"/>
    <w:rsid w:val="00067D4C"/>
    <w:rsid w:val="0007027C"/>
    <w:rsid w:val="00071D67"/>
    <w:rsid w:val="00072448"/>
    <w:rsid w:val="0007308D"/>
    <w:rsid w:val="000734EF"/>
    <w:rsid w:val="00073586"/>
    <w:rsid w:val="00073939"/>
    <w:rsid w:val="00073CA6"/>
    <w:rsid w:val="00074229"/>
    <w:rsid w:val="000744D8"/>
    <w:rsid w:val="000745DC"/>
    <w:rsid w:val="000748FE"/>
    <w:rsid w:val="00074A04"/>
    <w:rsid w:val="00074A42"/>
    <w:rsid w:val="00075982"/>
    <w:rsid w:val="00076C97"/>
    <w:rsid w:val="00076CFE"/>
    <w:rsid w:val="00076D75"/>
    <w:rsid w:val="00076F0F"/>
    <w:rsid w:val="0007711B"/>
    <w:rsid w:val="0007755F"/>
    <w:rsid w:val="00080C06"/>
    <w:rsid w:val="00081C1F"/>
    <w:rsid w:val="00082204"/>
    <w:rsid w:val="00082305"/>
    <w:rsid w:val="00082719"/>
    <w:rsid w:val="00082E89"/>
    <w:rsid w:val="0008309A"/>
    <w:rsid w:val="0008368C"/>
    <w:rsid w:val="00083BE5"/>
    <w:rsid w:val="00083FBA"/>
    <w:rsid w:val="00084119"/>
    <w:rsid w:val="00084357"/>
    <w:rsid w:val="0008575C"/>
    <w:rsid w:val="00091566"/>
    <w:rsid w:val="00091AD3"/>
    <w:rsid w:val="00092679"/>
    <w:rsid w:val="00092FCD"/>
    <w:rsid w:val="00093018"/>
    <w:rsid w:val="000930A0"/>
    <w:rsid w:val="000930B7"/>
    <w:rsid w:val="00093299"/>
    <w:rsid w:val="00094259"/>
    <w:rsid w:val="000947FD"/>
    <w:rsid w:val="0009596A"/>
    <w:rsid w:val="0009617A"/>
    <w:rsid w:val="00096511"/>
    <w:rsid w:val="00096721"/>
    <w:rsid w:val="00096CD8"/>
    <w:rsid w:val="000972E4"/>
    <w:rsid w:val="00097D99"/>
    <w:rsid w:val="000A0078"/>
    <w:rsid w:val="000A07DB"/>
    <w:rsid w:val="000A0830"/>
    <w:rsid w:val="000A108B"/>
    <w:rsid w:val="000A116E"/>
    <w:rsid w:val="000A172C"/>
    <w:rsid w:val="000A1D4A"/>
    <w:rsid w:val="000A1DB0"/>
    <w:rsid w:val="000A1E7D"/>
    <w:rsid w:val="000A275B"/>
    <w:rsid w:val="000A2AB9"/>
    <w:rsid w:val="000A30EF"/>
    <w:rsid w:val="000A34A0"/>
    <w:rsid w:val="000A3C26"/>
    <w:rsid w:val="000A4383"/>
    <w:rsid w:val="000A44AC"/>
    <w:rsid w:val="000A4985"/>
    <w:rsid w:val="000A4A8B"/>
    <w:rsid w:val="000A4CEC"/>
    <w:rsid w:val="000A5245"/>
    <w:rsid w:val="000A562F"/>
    <w:rsid w:val="000A60FE"/>
    <w:rsid w:val="000A63BE"/>
    <w:rsid w:val="000A6979"/>
    <w:rsid w:val="000A72D4"/>
    <w:rsid w:val="000A74C7"/>
    <w:rsid w:val="000A7C62"/>
    <w:rsid w:val="000A7E97"/>
    <w:rsid w:val="000A7EC8"/>
    <w:rsid w:val="000B0410"/>
    <w:rsid w:val="000B0AD4"/>
    <w:rsid w:val="000B0D43"/>
    <w:rsid w:val="000B1164"/>
    <w:rsid w:val="000B1A0F"/>
    <w:rsid w:val="000B1E6C"/>
    <w:rsid w:val="000B2198"/>
    <w:rsid w:val="000B2ABB"/>
    <w:rsid w:val="000B3651"/>
    <w:rsid w:val="000B53A1"/>
    <w:rsid w:val="000B595B"/>
    <w:rsid w:val="000B600F"/>
    <w:rsid w:val="000B6775"/>
    <w:rsid w:val="000B6C59"/>
    <w:rsid w:val="000C0D96"/>
    <w:rsid w:val="000C17D4"/>
    <w:rsid w:val="000C2981"/>
    <w:rsid w:val="000C2E13"/>
    <w:rsid w:val="000C3E73"/>
    <w:rsid w:val="000C3EC9"/>
    <w:rsid w:val="000C4DDD"/>
    <w:rsid w:val="000C4EBC"/>
    <w:rsid w:val="000C575B"/>
    <w:rsid w:val="000C5785"/>
    <w:rsid w:val="000C5A13"/>
    <w:rsid w:val="000C68E3"/>
    <w:rsid w:val="000C6D3D"/>
    <w:rsid w:val="000C74BD"/>
    <w:rsid w:val="000C77F9"/>
    <w:rsid w:val="000C78D3"/>
    <w:rsid w:val="000C7F4F"/>
    <w:rsid w:val="000D0328"/>
    <w:rsid w:val="000D0333"/>
    <w:rsid w:val="000D0724"/>
    <w:rsid w:val="000D0CF9"/>
    <w:rsid w:val="000D2863"/>
    <w:rsid w:val="000D2CE1"/>
    <w:rsid w:val="000D2D1C"/>
    <w:rsid w:val="000D34D1"/>
    <w:rsid w:val="000D3521"/>
    <w:rsid w:val="000D366C"/>
    <w:rsid w:val="000D386E"/>
    <w:rsid w:val="000D565F"/>
    <w:rsid w:val="000D5773"/>
    <w:rsid w:val="000D5CFE"/>
    <w:rsid w:val="000D692D"/>
    <w:rsid w:val="000D6CA4"/>
    <w:rsid w:val="000D7C88"/>
    <w:rsid w:val="000E11CC"/>
    <w:rsid w:val="000E1701"/>
    <w:rsid w:val="000E2022"/>
    <w:rsid w:val="000E2E06"/>
    <w:rsid w:val="000E323F"/>
    <w:rsid w:val="000E3CC2"/>
    <w:rsid w:val="000E3E90"/>
    <w:rsid w:val="000E40AF"/>
    <w:rsid w:val="000E4207"/>
    <w:rsid w:val="000E4B0A"/>
    <w:rsid w:val="000E4B77"/>
    <w:rsid w:val="000E4C52"/>
    <w:rsid w:val="000E4E08"/>
    <w:rsid w:val="000E506E"/>
    <w:rsid w:val="000E5563"/>
    <w:rsid w:val="000E5815"/>
    <w:rsid w:val="000E5D85"/>
    <w:rsid w:val="000E69A1"/>
    <w:rsid w:val="000E7425"/>
    <w:rsid w:val="000E7BAC"/>
    <w:rsid w:val="000E7E9D"/>
    <w:rsid w:val="000F047A"/>
    <w:rsid w:val="000F148D"/>
    <w:rsid w:val="000F176C"/>
    <w:rsid w:val="000F2490"/>
    <w:rsid w:val="000F2CA0"/>
    <w:rsid w:val="000F42CF"/>
    <w:rsid w:val="000F4913"/>
    <w:rsid w:val="000F496F"/>
    <w:rsid w:val="000F5DBB"/>
    <w:rsid w:val="00100073"/>
    <w:rsid w:val="001000A1"/>
    <w:rsid w:val="001003D6"/>
    <w:rsid w:val="00100A96"/>
    <w:rsid w:val="00100D04"/>
    <w:rsid w:val="00101936"/>
    <w:rsid w:val="00101BC6"/>
    <w:rsid w:val="00101DC4"/>
    <w:rsid w:val="00102551"/>
    <w:rsid w:val="00102BF6"/>
    <w:rsid w:val="001030F3"/>
    <w:rsid w:val="00103874"/>
    <w:rsid w:val="00103A8D"/>
    <w:rsid w:val="00103DD5"/>
    <w:rsid w:val="00104752"/>
    <w:rsid w:val="001049B0"/>
    <w:rsid w:val="001052BE"/>
    <w:rsid w:val="001054B3"/>
    <w:rsid w:val="00105CD3"/>
    <w:rsid w:val="00105DC4"/>
    <w:rsid w:val="00106B7D"/>
    <w:rsid w:val="00107577"/>
    <w:rsid w:val="001077B7"/>
    <w:rsid w:val="001078E8"/>
    <w:rsid w:val="001101A6"/>
    <w:rsid w:val="0011029E"/>
    <w:rsid w:val="001105F5"/>
    <w:rsid w:val="00110F6C"/>
    <w:rsid w:val="00111A6D"/>
    <w:rsid w:val="00111B84"/>
    <w:rsid w:val="00111BF1"/>
    <w:rsid w:val="00112156"/>
    <w:rsid w:val="0011222D"/>
    <w:rsid w:val="001124BE"/>
    <w:rsid w:val="00113139"/>
    <w:rsid w:val="00114146"/>
    <w:rsid w:val="00114359"/>
    <w:rsid w:val="001143BD"/>
    <w:rsid w:val="00114513"/>
    <w:rsid w:val="001146C0"/>
    <w:rsid w:val="0011559E"/>
    <w:rsid w:val="0011561A"/>
    <w:rsid w:val="001156FD"/>
    <w:rsid w:val="00115C94"/>
    <w:rsid w:val="00115DA2"/>
    <w:rsid w:val="00115E4A"/>
    <w:rsid w:val="00115EED"/>
    <w:rsid w:val="00116A69"/>
    <w:rsid w:val="00116BC5"/>
    <w:rsid w:val="001171E4"/>
    <w:rsid w:val="001179A4"/>
    <w:rsid w:val="00117BE6"/>
    <w:rsid w:val="00120536"/>
    <w:rsid w:val="001205FD"/>
    <w:rsid w:val="0012143E"/>
    <w:rsid w:val="0012191B"/>
    <w:rsid w:val="00123594"/>
    <w:rsid w:val="001252FE"/>
    <w:rsid w:val="00125559"/>
    <w:rsid w:val="0012559A"/>
    <w:rsid w:val="001273AE"/>
    <w:rsid w:val="00127895"/>
    <w:rsid w:val="00127C6A"/>
    <w:rsid w:val="00127ED6"/>
    <w:rsid w:val="00130478"/>
    <w:rsid w:val="00130904"/>
    <w:rsid w:val="0013103E"/>
    <w:rsid w:val="0013147A"/>
    <w:rsid w:val="00131630"/>
    <w:rsid w:val="00131714"/>
    <w:rsid w:val="00131D63"/>
    <w:rsid w:val="00132143"/>
    <w:rsid w:val="001322A4"/>
    <w:rsid w:val="00133955"/>
    <w:rsid w:val="00133BA9"/>
    <w:rsid w:val="001353C3"/>
    <w:rsid w:val="00135690"/>
    <w:rsid w:val="0013579E"/>
    <w:rsid w:val="00135BD3"/>
    <w:rsid w:val="00136767"/>
    <w:rsid w:val="00136A74"/>
    <w:rsid w:val="00136BDD"/>
    <w:rsid w:val="0013726A"/>
    <w:rsid w:val="001375E9"/>
    <w:rsid w:val="0013760E"/>
    <w:rsid w:val="001379C5"/>
    <w:rsid w:val="00140416"/>
    <w:rsid w:val="00140678"/>
    <w:rsid w:val="00140C26"/>
    <w:rsid w:val="00140C9E"/>
    <w:rsid w:val="00140FF0"/>
    <w:rsid w:val="001411C6"/>
    <w:rsid w:val="00142529"/>
    <w:rsid w:val="00142799"/>
    <w:rsid w:val="0014298C"/>
    <w:rsid w:val="00142E80"/>
    <w:rsid w:val="001439DE"/>
    <w:rsid w:val="00143F97"/>
    <w:rsid w:val="0014425A"/>
    <w:rsid w:val="001442DF"/>
    <w:rsid w:val="0014564A"/>
    <w:rsid w:val="00145657"/>
    <w:rsid w:val="001458E1"/>
    <w:rsid w:val="00145F77"/>
    <w:rsid w:val="00146350"/>
    <w:rsid w:val="00146687"/>
    <w:rsid w:val="00146916"/>
    <w:rsid w:val="00146DAE"/>
    <w:rsid w:val="0014790E"/>
    <w:rsid w:val="0015000F"/>
    <w:rsid w:val="0015028D"/>
    <w:rsid w:val="001502F8"/>
    <w:rsid w:val="00151131"/>
    <w:rsid w:val="00151B4E"/>
    <w:rsid w:val="00151B9D"/>
    <w:rsid w:val="00151DD2"/>
    <w:rsid w:val="00151F0E"/>
    <w:rsid w:val="00153533"/>
    <w:rsid w:val="001537D5"/>
    <w:rsid w:val="001537D6"/>
    <w:rsid w:val="00153C08"/>
    <w:rsid w:val="00154FED"/>
    <w:rsid w:val="0015543F"/>
    <w:rsid w:val="00155C99"/>
    <w:rsid w:val="00156457"/>
    <w:rsid w:val="001566AF"/>
    <w:rsid w:val="0016146E"/>
    <w:rsid w:val="00161A9A"/>
    <w:rsid w:val="001637D5"/>
    <w:rsid w:val="00163825"/>
    <w:rsid w:val="001652AD"/>
    <w:rsid w:val="001652DA"/>
    <w:rsid w:val="0016559F"/>
    <w:rsid w:val="00165648"/>
    <w:rsid w:val="00165826"/>
    <w:rsid w:val="00165DA2"/>
    <w:rsid w:val="00165EEE"/>
    <w:rsid w:val="001666ED"/>
    <w:rsid w:val="00167101"/>
    <w:rsid w:val="00167159"/>
    <w:rsid w:val="001673C6"/>
    <w:rsid w:val="00167439"/>
    <w:rsid w:val="00170115"/>
    <w:rsid w:val="00171612"/>
    <w:rsid w:val="00171939"/>
    <w:rsid w:val="00171953"/>
    <w:rsid w:val="0017231F"/>
    <w:rsid w:val="00173FC2"/>
    <w:rsid w:val="001742D4"/>
    <w:rsid w:val="00174539"/>
    <w:rsid w:val="00174709"/>
    <w:rsid w:val="00174840"/>
    <w:rsid w:val="00174A06"/>
    <w:rsid w:val="00174E07"/>
    <w:rsid w:val="00175B94"/>
    <w:rsid w:val="001764E9"/>
    <w:rsid w:val="0017685B"/>
    <w:rsid w:val="00180371"/>
    <w:rsid w:val="001803BB"/>
    <w:rsid w:val="001803D4"/>
    <w:rsid w:val="00181CEA"/>
    <w:rsid w:val="0018221F"/>
    <w:rsid w:val="001827CF"/>
    <w:rsid w:val="00182DDC"/>
    <w:rsid w:val="001832D5"/>
    <w:rsid w:val="00183770"/>
    <w:rsid w:val="001844CE"/>
    <w:rsid w:val="00184517"/>
    <w:rsid w:val="00184633"/>
    <w:rsid w:val="00184A17"/>
    <w:rsid w:val="00184AA4"/>
    <w:rsid w:val="00185EB1"/>
    <w:rsid w:val="00187219"/>
    <w:rsid w:val="001878A2"/>
    <w:rsid w:val="00190C09"/>
    <w:rsid w:val="001912BB"/>
    <w:rsid w:val="0019196D"/>
    <w:rsid w:val="0019230B"/>
    <w:rsid w:val="00192618"/>
    <w:rsid w:val="001926C5"/>
    <w:rsid w:val="00192977"/>
    <w:rsid w:val="00193D29"/>
    <w:rsid w:val="00194120"/>
    <w:rsid w:val="00194BA9"/>
    <w:rsid w:val="00195337"/>
    <w:rsid w:val="0019657F"/>
    <w:rsid w:val="001965AA"/>
    <w:rsid w:val="001972E1"/>
    <w:rsid w:val="001A1150"/>
    <w:rsid w:val="001A1A14"/>
    <w:rsid w:val="001A23F6"/>
    <w:rsid w:val="001A2DE8"/>
    <w:rsid w:val="001A35C8"/>
    <w:rsid w:val="001A377F"/>
    <w:rsid w:val="001A379D"/>
    <w:rsid w:val="001A3C68"/>
    <w:rsid w:val="001A3E1D"/>
    <w:rsid w:val="001A43B7"/>
    <w:rsid w:val="001A44F5"/>
    <w:rsid w:val="001A4527"/>
    <w:rsid w:val="001A4E8B"/>
    <w:rsid w:val="001A5715"/>
    <w:rsid w:val="001A606A"/>
    <w:rsid w:val="001A6741"/>
    <w:rsid w:val="001A6E11"/>
    <w:rsid w:val="001A6E86"/>
    <w:rsid w:val="001A6EC8"/>
    <w:rsid w:val="001A7215"/>
    <w:rsid w:val="001A7B3B"/>
    <w:rsid w:val="001A7BE7"/>
    <w:rsid w:val="001B0038"/>
    <w:rsid w:val="001B0397"/>
    <w:rsid w:val="001B04D3"/>
    <w:rsid w:val="001B14E4"/>
    <w:rsid w:val="001B19B3"/>
    <w:rsid w:val="001B1C02"/>
    <w:rsid w:val="001B1FEF"/>
    <w:rsid w:val="001B33D0"/>
    <w:rsid w:val="001B3CCC"/>
    <w:rsid w:val="001B456A"/>
    <w:rsid w:val="001B4934"/>
    <w:rsid w:val="001B497D"/>
    <w:rsid w:val="001B4D2C"/>
    <w:rsid w:val="001B5C8E"/>
    <w:rsid w:val="001B6322"/>
    <w:rsid w:val="001C064E"/>
    <w:rsid w:val="001C0CFE"/>
    <w:rsid w:val="001C165F"/>
    <w:rsid w:val="001C166F"/>
    <w:rsid w:val="001C1DC7"/>
    <w:rsid w:val="001C296D"/>
    <w:rsid w:val="001C34F6"/>
    <w:rsid w:val="001C36A1"/>
    <w:rsid w:val="001C38F3"/>
    <w:rsid w:val="001C3C93"/>
    <w:rsid w:val="001C3D7F"/>
    <w:rsid w:val="001C5143"/>
    <w:rsid w:val="001C5460"/>
    <w:rsid w:val="001C5A69"/>
    <w:rsid w:val="001C5FCA"/>
    <w:rsid w:val="001C6085"/>
    <w:rsid w:val="001C60A8"/>
    <w:rsid w:val="001C62A3"/>
    <w:rsid w:val="001C6621"/>
    <w:rsid w:val="001C6CBE"/>
    <w:rsid w:val="001C6FC9"/>
    <w:rsid w:val="001C7262"/>
    <w:rsid w:val="001C729F"/>
    <w:rsid w:val="001C7DFF"/>
    <w:rsid w:val="001D08AB"/>
    <w:rsid w:val="001D0A6D"/>
    <w:rsid w:val="001D0B24"/>
    <w:rsid w:val="001D0C53"/>
    <w:rsid w:val="001D0C6A"/>
    <w:rsid w:val="001D0F8F"/>
    <w:rsid w:val="001D199C"/>
    <w:rsid w:val="001D2AB0"/>
    <w:rsid w:val="001D2FA1"/>
    <w:rsid w:val="001D3764"/>
    <w:rsid w:val="001D40D1"/>
    <w:rsid w:val="001D4113"/>
    <w:rsid w:val="001D46CA"/>
    <w:rsid w:val="001D4B0B"/>
    <w:rsid w:val="001D4D30"/>
    <w:rsid w:val="001D538F"/>
    <w:rsid w:val="001D5538"/>
    <w:rsid w:val="001D5E38"/>
    <w:rsid w:val="001D6485"/>
    <w:rsid w:val="001D7027"/>
    <w:rsid w:val="001D792A"/>
    <w:rsid w:val="001D7A67"/>
    <w:rsid w:val="001E0D46"/>
    <w:rsid w:val="001E2126"/>
    <w:rsid w:val="001E2310"/>
    <w:rsid w:val="001E2B58"/>
    <w:rsid w:val="001E3155"/>
    <w:rsid w:val="001E3FB4"/>
    <w:rsid w:val="001E4A4F"/>
    <w:rsid w:val="001E5A58"/>
    <w:rsid w:val="001E6BD1"/>
    <w:rsid w:val="001E717D"/>
    <w:rsid w:val="001E720A"/>
    <w:rsid w:val="001F03D4"/>
    <w:rsid w:val="001F058D"/>
    <w:rsid w:val="001F0614"/>
    <w:rsid w:val="001F0F95"/>
    <w:rsid w:val="001F17B6"/>
    <w:rsid w:val="001F1C9D"/>
    <w:rsid w:val="001F1CDE"/>
    <w:rsid w:val="001F1D97"/>
    <w:rsid w:val="001F3179"/>
    <w:rsid w:val="001F3382"/>
    <w:rsid w:val="001F4799"/>
    <w:rsid w:val="001F4B06"/>
    <w:rsid w:val="001F51F2"/>
    <w:rsid w:val="001F5295"/>
    <w:rsid w:val="001F5AAF"/>
    <w:rsid w:val="001F6E1B"/>
    <w:rsid w:val="001F76D9"/>
    <w:rsid w:val="00200783"/>
    <w:rsid w:val="0020184F"/>
    <w:rsid w:val="00201BDF"/>
    <w:rsid w:val="00202812"/>
    <w:rsid w:val="002028D1"/>
    <w:rsid w:val="00203583"/>
    <w:rsid w:val="0020384F"/>
    <w:rsid w:val="00203992"/>
    <w:rsid w:val="00203B81"/>
    <w:rsid w:val="002042E7"/>
    <w:rsid w:val="00204E38"/>
    <w:rsid w:val="002054AC"/>
    <w:rsid w:val="002055DE"/>
    <w:rsid w:val="00205958"/>
    <w:rsid w:val="00205B3D"/>
    <w:rsid w:val="00205FF2"/>
    <w:rsid w:val="002069E2"/>
    <w:rsid w:val="00206A31"/>
    <w:rsid w:val="00207648"/>
    <w:rsid w:val="002078C3"/>
    <w:rsid w:val="00207E21"/>
    <w:rsid w:val="002102E0"/>
    <w:rsid w:val="00210D28"/>
    <w:rsid w:val="00214B05"/>
    <w:rsid w:val="00216441"/>
    <w:rsid w:val="002169BD"/>
    <w:rsid w:val="00216BC3"/>
    <w:rsid w:val="00220525"/>
    <w:rsid w:val="00220A87"/>
    <w:rsid w:val="00220CAD"/>
    <w:rsid w:val="00220E74"/>
    <w:rsid w:val="00221501"/>
    <w:rsid w:val="00221CCB"/>
    <w:rsid w:val="002221EB"/>
    <w:rsid w:val="002230E2"/>
    <w:rsid w:val="0022351C"/>
    <w:rsid w:val="0022377E"/>
    <w:rsid w:val="00224070"/>
    <w:rsid w:val="00224572"/>
    <w:rsid w:val="002250C4"/>
    <w:rsid w:val="002256CA"/>
    <w:rsid w:val="00225C3A"/>
    <w:rsid w:val="002267F2"/>
    <w:rsid w:val="00226D1B"/>
    <w:rsid w:val="00226E8A"/>
    <w:rsid w:val="00227051"/>
    <w:rsid w:val="002279A0"/>
    <w:rsid w:val="002317AF"/>
    <w:rsid w:val="00231D43"/>
    <w:rsid w:val="00232DA1"/>
    <w:rsid w:val="00233122"/>
    <w:rsid w:val="00233370"/>
    <w:rsid w:val="0023440B"/>
    <w:rsid w:val="0023484B"/>
    <w:rsid w:val="002354B8"/>
    <w:rsid w:val="002354DE"/>
    <w:rsid w:val="00235574"/>
    <w:rsid w:val="00235F3D"/>
    <w:rsid w:val="00236AD5"/>
    <w:rsid w:val="00237B0B"/>
    <w:rsid w:val="00240318"/>
    <w:rsid w:val="00241AB8"/>
    <w:rsid w:val="00241CE8"/>
    <w:rsid w:val="00241FD6"/>
    <w:rsid w:val="0024291D"/>
    <w:rsid w:val="00242E22"/>
    <w:rsid w:val="002449A1"/>
    <w:rsid w:val="002449FC"/>
    <w:rsid w:val="00244AE2"/>
    <w:rsid w:val="00246539"/>
    <w:rsid w:val="0024707F"/>
    <w:rsid w:val="00247233"/>
    <w:rsid w:val="002476E6"/>
    <w:rsid w:val="00247712"/>
    <w:rsid w:val="00247C8A"/>
    <w:rsid w:val="00247E18"/>
    <w:rsid w:val="00247F66"/>
    <w:rsid w:val="00252C8F"/>
    <w:rsid w:val="00253900"/>
    <w:rsid w:val="00254888"/>
    <w:rsid w:val="00254F75"/>
    <w:rsid w:val="00255126"/>
    <w:rsid w:val="00255668"/>
    <w:rsid w:val="00255A8F"/>
    <w:rsid w:val="00255CE5"/>
    <w:rsid w:val="00255CE9"/>
    <w:rsid w:val="00255F47"/>
    <w:rsid w:val="00257A96"/>
    <w:rsid w:val="00257AB0"/>
    <w:rsid w:val="002607A8"/>
    <w:rsid w:val="00261B83"/>
    <w:rsid w:val="00262586"/>
    <w:rsid w:val="0026396C"/>
    <w:rsid w:val="00264038"/>
    <w:rsid w:val="00264130"/>
    <w:rsid w:val="002642A3"/>
    <w:rsid w:val="002642C0"/>
    <w:rsid w:val="00264A4E"/>
    <w:rsid w:val="00264E81"/>
    <w:rsid w:val="00265605"/>
    <w:rsid w:val="00265AA1"/>
    <w:rsid w:val="00266535"/>
    <w:rsid w:val="00266784"/>
    <w:rsid w:val="00266C83"/>
    <w:rsid w:val="00266D60"/>
    <w:rsid w:val="00267038"/>
    <w:rsid w:val="002700E2"/>
    <w:rsid w:val="00270ECD"/>
    <w:rsid w:val="0027288B"/>
    <w:rsid w:val="0027417F"/>
    <w:rsid w:val="00274AD6"/>
    <w:rsid w:val="00274F48"/>
    <w:rsid w:val="00275DF4"/>
    <w:rsid w:val="002801ED"/>
    <w:rsid w:val="00280B75"/>
    <w:rsid w:val="00280D99"/>
    <w:rsid w:val="0028112C"/>
    <w:rsid w:val="0028151E"/>
    <w:rsid w:val="00281B9E"/>
    <w:rsid w:val="00281D30"/>
    <w:rsid w:val="00283790"/>
    <w:rsid w:val="00284A80"/>
    <w:rsid w:val="00284C60"/>
    <w:rsid w:val="002851DE"/>
    <w:rsid w:val="0028553C"/>
    <w:rsid w:val="002906AA"/>
    <w:rsid w:val="0029077B"/>
    <w:rsid w:val="00290A4F"/>
    <w:rsid w:val="00291C50"/>
    <w:rsid w:val="002931C0"/>
    <w:rsid w:val="002936AE"/>
    <w:rsid w:val="00293A7D"/>
    <w:rsid w:val="00294015"/>
    <w:rsid w:val="00294CAF"/>
    <w:rsid w:val="00294FB0"/>
    <w:rsid w:val="00295287"/>
    <w:rsid w:val="0029548B"/>
    <w:rsid w:val="00295689"/>
    <w:rsid w:val="00295B1A"/>
    <w:rsid w:val="00295D39"/>
    <w:rsid w:val="00296042"/>
    <w:rsid w:val="002960C9"/>
    <w:rsid w:val="00296265"/>
    <w:rsid w:val="00297E37"/>
    <w:rsid w:val="002A02AB"/>
    <w:rsid w:val="002A0D59"/>
    <w:rsid w:val="002A0DC4"/>
    <w:rsid w:val="002A0E00"/>
    <w:rsid w:val="002A153A"/>
    <w:rsid w:val="002A29EA"/>
    <w:rsid w:val="002A2DC6"/>
    <w:rsid w:val="002A3F3C"/>
    <w:rsid w:val="002A49F4"/>
    <w:rsid w:val="002A4EC8"/>
    <w:rsid w:val="002A618D"/>
    <w:rsid w:val="002A61FD"/>
    <w:rsid w:val="002A6344"/>
    <w:rsid w:val="002A6C60"/>
    <w:rsid w:val="002A7441"/>
    <w:rsid w:val="002A7625"/>
    <w:rsid w:val="002A77D5"/>
    <w:rsid w:val="002A7E72"/>
    <w:rsid w:val="002A7EAC"/>
    <w:rsid w:val="002B0686"/>
    <w:rsid w:val="002B0DBC"/>
    <w:rsid w:val="002B3339"/>
    <w:rsid w:val="002B377E"/>
    <w:rsid w:val="002B378C"/>
    <w:rsid w:val="002B40E8"/>
    <w:rsid w:val="002B48B4"/>
    <w:rsid w:val="002B5EE0"/>
    <w:rsid w:val="002B635C"/>
    <w:rsid w:val="002B652B"/>
    <w:rsid w:val="002B6C84"/>
    <w:rsid w:val="002B7050"/>
    <w:rsid w:val="002B7065"/>
    <w:rsid w:val="002B739A"/>
    <w:rsid w:val="002C10FD"/>
    <w:rsid w:val="002C133E"/>
    <w:rsid w:val="002C146D"/>
    <w:rsid w:val="002C15D3"/>
    <w:rsid w:val="002C166C"/>
    <w:rsid w:val="002C1677"/>
    <w:rsid w:val="002C16FB"/>
    <w:rsid w:val="002C17CA"/>
    <w:rsid w:val="002C1DD8"/>
    <w:rsid w:val="002C25D7"/>
    <w:rsid w:val="002C2AEA"/>
    <w:rsid w:val="002C3602"/>
    <w:rsid w:val="002C3C58"/>
    <w:rsid w:val="002C4BF6"/>
    <w:rsid w:val="002C544C"/>
    <w:rsid w:val="002C58D5"/>
    <w:rsid w:val="002C5E97"/>
    <w:rsid w:val="002C614A"/>
    <w:rsid w:val="002C6278"/>
    <w:rsid w:val="002C6ACD"/>
    <w:rsid w:val="002C6CC5"/>
    <w:rsid w:val="002D09FB"/>
    <w:rsid w:val="002D127B"/>
    <w:rsid w:val="002D17F8"/>
    <w:rsid w:val="002D1F4F"/>
    <w:rsid w:val="002D1FA1"/>
    <w:rsid w:val="002D309E"/>
    <w:rsid w:val="002D33EF"/>
    <w:rsid w:val="002D3C0C"/>
    <w:rsid w:val="002D4551"/>
    <w:rsid w:val="002D49DD"/>
    <w:rsid w:val="002D52BA"/>
    <w:rsid w:val="002D551E"/>
    <w:rsid w:val="002D5BF0"/>
    <w:rsid w:val="002D674F"/>
    <w:rsid w:val="002D76B4"/>
    <w:rsid w:val="002D7ADF"/>
    <w:rsid w:val="002D7ED5"/>
    <w:rsid w:val="002E0C92"/>
    <w:rsid w:val="002E1278"/>
    <w:rsid w:val="002E12DD"/>
    <w:rsid w:val="002E2DC9"/>
    <w:rsid w:val="002E2EAC"/>
    <w:rsid w:val="002E30BA"/>
    <w:rsid w:val="002E32AB"/>
    <w:rsid w:val="002E3315"/>
    <w:rsid w:val="002E3930"/>
    <w:rsid w:val="002E413D"/>
    <w:rsid w:val="002E4801"/>
    <w:rsid w:val="002E4824"/>
    <w:rsid w:val="002E4BEC"/>
    <w:rsid w:val="002E65A8"/>
    <w:rsid w:val="002E67D4"/>
    <w:rsid w:val="002E7712"/>
    <w:rsid w:val="002E7865"/>
    <w:rsid w:val="002E7ACD"/>
    <w:rsid w:val="002F0012"/>
    <w:rsid w:val="002F1085"/>
    <w:rsid w:val="002F1EAF"/>
    <w:rsid w:val="002F4334"/>
    <w:rsid w:val="002F4675"/>
    <w:rsid w:val="002F4B10"/>
    <w:rsid w:val="002F5FCC"/>
    <w:rsid w:val="002F650D"/>
    <w:rsid w:val="002F6B09"/>
    <w:rsid w:val="002F6B51"/>
    <w:rsid w:val="002F6DE4"/>
    <w:rsid w:val="00300931"/>
    <w:rsid w:val="00300DB0"/>
    <w:rsid w:val="00301128"/>
    <w:rsid w:val="00301287"/>
    <w:rsid w:val="0030136C"/>
    <w:rsid w:val="00302288"/>
    <w:rsid w:val="003025AC"/>
    <w:rsid w:val="003027DB"/>
    <w:rsid w:val="00302885"/>
    <w:rsid w:val="00302E1E"/>
    <w:rsid w:val="00303201"/>
    <w:rsid w:val="00304F38"/>
    <w:rsid w:val="0030549F"/>
    <w:rsid w:val="0030798F"/>
    <w:rsid w:val="0031014D"/>
    <w:rsid w:val="003105E2"/>
    <w:rsid w:val="003119F7"/>
    <w:rsid w:val="00311AF1"/>
    <w:rsid w:val="00311D6D"/>
    <w:rsid w:val="003125A6"/>
    <w:rsid w:val="00312B25"/>
    <w:rsid w:val="0031352A"/>
    <w:rsid w:val="00313CC3"/>
    <w:rsid w:val="00314128"/>
    <w:rsid w:val="00314B45"/>
    <w:rsid w:val="00314F7F"/>
    <w:rsid w:val="003150C8"/>
    <w:rsid w:val="003151BA"/>
    <w:rsid w:val="003156B9"/>
    <w:rsid w:val="00315ADA"/>
    <w:rsid w:val="00315C56"/>
    <w:rsid w:val="00316718"/>
    <w:rsid w:val="00317E4C"/>
    <w:rsid w:val="00320666"/>
    <w:rsid w:val="00320BAB"/>
    <w:rsid w:val="00321457"/>
    <w:rsid w:val="00321DDD"/>
    <w:rsid w:val="003234CC"/>
    <w:rsid w:val="00323613"/>
    <w:rsid w:val="0032566C"/>
    <w:rsid w:val="00325A1E"/>
    <w:rsid w:val="003262BB"/>
    <w:rsid w:val="00326C39"/>
    <w:rsid w:val="00326EC4"/>
    <w:rsid w:val="00327095"/>
    <w:rsid w:val="00327B02"/>
    <w:rsid w:val="00330111"/>
    <w:rsid w:val="003315F6"/>
    <w:rsid w:val="00331647"/>
    <w:rsid w:val="00332354"/>
    <w:rsid w:val="003324A2"/>
    <w:rsid w:val="00332CEC"/>
    <w:rsid w:val="00332FD7"/>
    <w:rsid w:val="00333264"/>
    <w:rsid w:val="003334F6"/>
    <w:rsid w:val="00334C39"/>
    <w:rsid w:val="00335154"/>
    <w:rsid w:val="00336923"/>
    <w:rsid w:val="00336972"/>
    <w:rsid w:val="00337049"/>
    <w:rsid w:val="003372ED"/>
    <w:rsid w:val="00340E23"/>
    <w:rsid w:val="003427CC"/>
    <w:rsid w:val="003430F5"/>
    <w:rsid w:val="00343494"/>
    <w:rsid w:val="003436D5"/>
    <w:rsid w:val="003439D2"/>
    <w:rsid w:val="00343B48"/>
    <w:rsid w:val="00343C3F"/>
    <w:rsid w:val="00343CC3"/>
    <w:rsid w:val="00344C00"/>
    <w:rsid w:val="00344D33"/>
    <w:rsid w:val="00344F9C"/>
    <w:rsid w:val="0034586A"/>
    <w:rsid w:val="0034693E"/>
    <w:rsid w:val="00346982"/>
    <w:rsid w:val="00347456"/>
    <w:rsid w:val="003478A0"/>
    <w:rsid w:val="003478B8"/>
    <w:rsid w:val="00347CCC"/>
    <w:rsid w:val="00347DD7"/>
    <w:rsid w:val="00350364"/>
    <w:rsid w:val="003504D7"/>
    <w:rsid w:val="00350540"/>
    <w:rsid w:val="00350972"/>
    <w:rsid w:val="003509DA"/>
    <w:rsid w:val="003511D7"/>
    <w:rsid w:val="00351E8F"/>
    <w:rsid w:val="0035213D"/>
    <w:rsid w:val="0035261C"/>
    <w:rsid w:val="003527BD"/>
    <w:rsid w:val="00352E8D"/>
    <w:rsid w:val="0035315A"/>
    <w:rsid w:val="003553F4"/>
    <w:rsid w:val="00355737"/>
    <w:rsid w:val="003558C6"/>
    <w:rsid w:val="0035700B"/>
    <w:rsid w:val="003608E2"/>
    <w:rsid w:val="00360C1C"/>
    <w:rsid w:val="00360E78"/>
    <w:rsid w:val="003611DB"/>
    <w:rsid w:val="00362760"/>
    <w:rsid w:val="00362EE2"/>
    <w:rsid w:val="0036466D"/>
    <w:rsid w:val="003656FC"/>
    <w:rsid w:val="00366178"/>
    <w:rsid w:val="00367653"/>
    <w:rsid w:val="00367A16"/>
    <w:rsid w:val="00367AF6"/>
    <w:rsid w:val="0037132E"/>
    <w:rsid w:val="003714D3"/>
    <w:rsid w:val="00371F75"/>
    <w:rsid w:val="00372934"/>
    <w:rsid w:val="00372DC9"/>
    <w:rsid w:val="003747AD"/>
    <w:rsid w:val="0037569A"/>
    <w:rsid w:val="00375851"/>
    <w:rsid w:val="003758BF"/>
    <w:rsid w:val="00375FA7"/>
    <w:rsid w:val="00376358"/>
    <w:rsid w:val="00377067"/>
    <w:rsid w:val="00377B74"/>
    <w:rsid w:val="003802B0"/>
    <w:rsid w:val="00381AE7"/>
    <w:rsid w:val="00382BE4"/>
    <w:rsid w:val="00383978"/>
    <w:rsid w:val="00383983"/>
    <w:rsid w:val="00384E14"/>
    <w:rsid w:val="00386269"/>
    <w:rsid w:val="00386684"/>
    <w:rsid w:val="00386971"/>
    <w:rsid w:val="003869BB"/>
    <w:rsid w:val="00386B69"/>
    <w:rsid w:val="00386D86"/>
    <w:rsid w:val="00387AB3"/>
    <w:rsid w:val="00390607"/>
    <w:rsid w:val="003907D5"/>
    <w:rsid w:val="00392399"/>
    <w:rsid w:val="003924C7"/>
    <w:rsid w:val="00392A63"/>
    <w:rsid w:val="003935C4"/>
    <w:rsid w:val="00393623"/>
    <w:rsid w:val="00394046"/>
    <w:rsid w:val="00394BC4"/>
    <w:rsid w:val="00394C21"/>
    <w:rsid w:val="00394E9F"/>
    <w:rsid w:val="00395128"/>
    <w:rsid w:val="003953E5"/>
    <w:rsid w:val="00395BDE"/>
    <w:rsid w:val="00396601"/>
    <w:rsid w:val="00396EB2"/>
    <w:rsid w:val="0039742A"/>
    <w:rsid w:val="00397A17"/>
    <w:rsid w:val="003A2A20"/>
    <w:rsid w:val="003A2EFD"/>
    <w:rsid w:val="003A30A9"/>
    <w:rsid w:val="003A33CC"/>
    <w:rsid w:val="003A3C4F"/>
    <w:rsid w:val="003A3CEA"/>
    <w:rsid w:val="003A3CED"/>
    <w:rsid w:val="003A3E76"/>
    <w:rsid w:val="003A4259"/>
    <w:rsid w:val="003A4537"/>
    <w:rsid w:val="003A4E82"/>
    <w:rsid w:val="003A5830"/>
    <w:rsid w:val="003A5BEF"/>
    <w:rsid w:val="003A6AC6"/>
    <w:rsid w:val="003A6FFC"/>
    <w:rsid w:val="003A796B"/>
    <w:rsid w:val="003A7DFF"/>
    <w:rsid w:val="003B0039"/>
    <w:rsid w:val="003B0200"/>
    <w:rsid w:val="003B0210"/>
    <w:rsid w:val="003B11E6"/>
    <w:rsid w:val="003B146A"/>
    <w:rsid w:val="003B1A8C"/>
    <w:rsid w:val="003B24EA"/>
    <w:rsid w:val="003B2760"/>
    <w:rsid w:val="003B2E98"/>
    <w:rsid w:val="003B34E5"/>
    <w:rsid w:val="003B459A"/>
    <w:rsid w:val="003B48E8"/>
    <w:rsid w:val="003B5704"/>
    <w:rsid w:val="003B5B1D"/>
    <w:rsid w:val="003B5F35"/>
    <w:rsid w:val="003B672C"/>
    <w:rsid w:val="003B67D6"/>
    <w:rsid w:val="003C04F6"/>
    <w:rsid w:val="003C0977"/>
    <w:rsid w:val="003C0B9F"/>
    <w:rsid w:val="003C2601"/>
    <w:rsid w:val="003C26C1"/>
    <w:rsid w:val="003C3028"/>
    <w:rsid w:val="003C3D9A"/>
    <w:rsid w:val="003C40A2"/>
    <w:rsid w:val="003C417C"/>
    <w:rsid w:val="003C47E7"/>
    <w:rsid w:val="003C6384"/>
    <w:rsid w:val="003C6479"/>
    <w:rsid w:val="003C6833"/>
    <w:rsid w:val="003C68AF"/>
    <w:rsid w:val="003C70B8"/>
    <w:rsid w:val="003D0356"/>
    <w:rsid w:val="003D0389"/>
    <w:rsid w:val="003D2674"/>
    <w:rsid w:val="003D29FB"/>
    <w:rsid w:val="003D2B2D"/>
    <w:rsid w:val="003D3235"/>
    <w:rsid w:val="003D3708"/>
    <w:rsid w:val="003D435B"/>
    <w:rsid w:val="003D4886"/>
    <w:rsid w:val="003D5772"/>
    <w:rsid w:val="003D5CB8"/>
    <w:rsid w:val="003D62C2"/>
    <w:rsid w:val="003D631C"/>
    <w:rsid w:val="003D6347"/>
    <w:rsid w:val="003D688F"/>
    <w:rsid w:val="003D6F66"/>
    <w:rsid w:val="003D72E8"/>
    <w:rsid w:val="003E00AE"/>
    <w:rsid w:val="003E12EE"/>
    <w:rsid w:val="003E2564"/>
    <w:rsid w:val="003E25E3"/>
    <w:rsid w:val="003E271F"/>
    <w:rsid w:val="003E274A"/>
    <w:rsid w:val="003E29FE"/>
    <w:rsid w:val="003E310D"/>
    <w:rsid w:val="003E3DCC"/>
    <w:rsid w:val="003E5C2F"/>
    <w:rsid w:val="003E63B4"/>
    <w:rsid w:val="003E6852"/>
    <w:rsid w:val="003E7B07"/>
    <w:rsid w:val="003F0029"/>
    <w:rsid w:val="003F0085"/>
    <w:rsid w:val="003F02A5"/>
    <w:rsid w:val="003F02DC"/>
    <w:rsid w:val="003F0322"/>
    <w:rsid w:val="003F040D"/>
    <w:rsid w:val="003F0803"/>
    <w:rsid w:val="003F0DDE"/>
    <w:rsid w:val="003F1E0E"/>
    <w:rsid w:val="003F2425"/>
    <w:rsid w:val="003F2B48"/>
    <w:rsid w:val="003F2C16"/>
    <w:rsid w:val="003F3636"/>
    <w:rsid w:val="003F4F73"/>
    <w:rsid w:val="003F5FA6"/>
    <w:rsid w:val="003F68CC"/>
    <w:rsid w:val="003F74FB"/>
    <w:rsid w:val="003F77BC"/>
    <w:rsid w:val="0040026F"/>
    <w:rsid w:val="00400751"/>
    <w:rsid w:val="00400D59"/>
    <w:rsid w:val="00401D28"/>
    <w:rsid w:val="00401E7A"/>
    <w:rsid w:val="00401FE4"/>
    <w:rsid w:val="004021EF"/>
    <w:rsid w:val="00402369"/>
    <w:rsid w:val="00402607"/>
    <w:rsid w:val="00402811"/>
    <w:rsid w:val="0040354B"/>
    <w:rsid w:val="00403FD9"/>
    <w:rsid w:val="00404908"/>
    <w:rsid w:val="00405394"/>
    <w:rsid w:val="004057E3"/>
    <w:rsid w:val="00405D88"/>
    <w:rsid w:val="00406D04"/>
    <w:rsid w:val="00406E7C"/>
    <w:rsid w:val="00407189"/>
    <w:rsid w:val="00407E07"/>
    <w:rsid w:val="00407E6B"/>
    <w:rsid w:val="004104A6"/>
    <w:rsid w:val="00410AB9"/>
    <w:rsid w:val="00410DC6"/>
    <w:rsid w:val="0041111B"/>
    <w:rsid w:val="004114D7"/>
    <w:rsid w:val="00411896"/>
    <w:rsid w:val="0041299B"/>
    <w:rsid w:val="00412B1C"/>
    <w:rsid w:val="00413227"/>
    <w:rsid w:val="0041388B"/>
    <w:rsid w:val="00413BD1"/>
    <w:rsid w:val="00413C28"/>
    <w:rsid w:val="00414591"/>
    <w:rsid w:val="00414677"/>
    <w:rsid w:val="0041496B"/>
    <w:rsid w:val="00415100"/>
    <w:rsid w:val="00415223"/>
    <w:rsid w:val="0041601A"/>
    <w:rsid w:val="004160F7"/>
    <w:rsid w:val="00416381"/>
    <w:rsid w:val="00417844"/>
    <w:rsid w:val="00417DAF"/>
    <w:rsid w:val="00420CC7"/>
    <w:rsid w:val="00421D66"/>
    <w:rsid w:val="00423C40"/>
    <w:rsid w:val="00423DEA"/>
    <w:rsid w:val="0042402D"/>
    <w:rsid w:val="00424199"/>
    <w:rsid w:val="00424483"/>
    <w:rsid w:val="00424AA5"/>
    <w:rsid w:val="00425C7E"/>
    <w:rsid w:val="00425F93"/>
    <w:rsid w:val="00426922"/>
    <w:rsid w:val="00426B05"/>
    <w:rsid w:val="00426B7C"/>
    <w:rsid w:val="00426FFE"/>
    <w:rsid w:val="004276D0"/>
    <w:rsid w:val="00431211"/>
    <w:rsid w:val="0043121A"/>
    <w:rsid w:val="00431492"/>
    <w:rsid w:val="00432623"/>
    <w:rsid w:val="00432DE4"/>
    <w:rsid w:val="00433805"/>
    <w:rsid w:val="004341E3"/>
    <w:rsid w:val="0043427B"/>
    <w:rsid w:val="0043514A"/>
    <w:rsid w:val="0043522F"/>
    <w:rsid w:val="00435719"/>
    <w:rsid w:val="00435B00"/>
    <w:rsid w:val="00435EB1"/>
    <w:rsid w:val="004368FA"/>
    <w:rsid w:val="00436B8F"/>
    <w:rsid w:val="00436FA4"/>
    <w:rsid w:val="00437826"/>
    <w:rsid w:val="00440800"/>
    <w:rsid w:val="00440873"/>
    <w:rsid w:val="00440C31"/>
    <w:rsid w:val="004412A2"/>
    <w:rsid w:val="0044176A"/>
    <w:rsid w:val="00441ED5"/>
    <w:rsid w:val="0044360A"/>
    <w:rsid w:val="004436DB"/>
    <w:rsid w:val="00443AA7"/>
    <w:rsid w:val="00444C7C"/>
    <w:rsid w:val="00445633"/>
    <w:rsid w:val="00445AF2"/>
    <w:rsid w:val="0044722A"/>
    <w:rsid w:val="004501B9"/>
    <w:rsid w:val="00450752"/>
    <w:rsid w:val="004513CD"/>
    <w:rsid w:val="004518E3"/>
    <w:rsid w:val="00451984"/>
    <w:rsid w:val="00451EF0"/>
    <w:rsid w:val="00452771"/>
    <w:rsid w:val="00452F37"/>
    <w:rsid w:val="0045309E"/>
    <w:rsid w:val="00453D4C"/>
    <w:rsid w:val="00453FEC"/>
    <w:rsid w:val="00454529"/>
    <w:rsid w:val="004546AB"/>
    <w:rsid w:val="00454AEB"/>
    <w:rsid w:val="00454D06"/>
    <w:rsid w:val="00454E89"/>
    <w:rsid w:val="0045564F"/>
    <w:rsid w:val="00455918"/>
    <w:rsid w:val="00455F09"/>
    <w:rsid w:val="00456344"/>
    <w:rsid w:val="004567AC"/>
    <w:rsid w:val="00457139"/>
    <w:rsid w:val="0046070A"/>
    <w:rsid w:val="00461934"/>
    <w:rsid w:val="00461DDA"/>
    <w:rsid w:val="00461E92"/>
    <w:rsid w:val="0046332C"/>
    <w:rsid w:val="004637DA"/>
    <w:rsid w:val="0046385A"/>
    <w:rsid w:val="00465537"/>
    <w:rsid w:val="00465E92"/>
    <w:rsid w:val="00466099"/>
    <w:rsid w:val="00466A36"/>
    <w:rsid w:val="004674C1"/>
    <w:rsid w:val="004723BA"/>
    <w:rsid w:val="004726A1"/>
    <w:rsid w:val="0047275C"/>
    <w:rsid w:val="00472AEF"/>
    <w:rsid w:val="00473535"/>
    <w:rsid w:val="00474707"/>
    <w:rsid w:val="00475128"/>
    <w:rsid w:val="00475741"/>
    <w:rsid w:val="00475DD7"/>
    <w:rsid w:val="00476742"/>
    <w:rsid w:val="00476771"/>
    <w:rsid w:val="00477C33"/>
    <w:rsid w:val="00477EB3"/>
    <w:rsid w:val="00480770"/>
    <w:rsid w:val="00480DBF"/>
    <w:rsid w:val="00480E35"/>
    <w:rsid w:val="00483410"/>
    <w:rsid w:val="00483492"/>
    <w:rsid w:val="00483E15"/>
    <w:rsid w:val="00484392"/>
    <w:rsid w:val="00484749"/>
    <w:rsid w:val="00484982"/>
    <w:rsid w:val="0048507B"/>
    <w:rsid w:val="004856FE"/>
    <w:rsid w:val="004858D5"/>
    <w:rsid w:val="00485909"/>
    <w:rsid w:val="00485CC4"/>
    <w:rsid w:val="004864C9"/>
    <w:rsid w:val="00491283"/>
    <w:rsid w:val="00491D27"/>
    <w:rsid w:val="00492422"/>
    <w:rsid w:val="00493738"/>
    <w:rsid w:val="0049383D"/>
    <w:rsid w:val="00493CAF"/>
    <w:rsid w:val="0049415E"/>
    <w:rsid w:val="004942BF"/>
    <w:rsid w:val="004947C2"/>
    <w:rsid w:val="00495A9D"/>
    <w:rsid w:val="00495DAD"/>
    <w:rsid w:val="00496146"/>
    <w:rsid w:val="004962A2"/>
    <w:rsid w:val="0049642A"/>
    <w:rsid w:val="00497D13"/>
    <w:rsid w:val="004A0C90"/>
    <w:rsid w:val="004A1F6A"/>
    <w:rsid w:val="004A2AF6"/>
    <w:rsid w:val="004A32FA"/>
    <w:rsid w:val="004A3B40"/>
    <w:rsid w:val="004A4577"/>
    <w:rsid w:val="004A4D09"/>
    <w:rsid w:val="004A4DF8"/>
    <w:rsid w:val="004A6764"/>
    <w:rsid w:val="004A6FC8"/>
    <w:rsid w:val="004A7735"/>
    <w:rsid w:val="004A78A1"/>
    <w:rsid w:val="004A7C1B"/>
    <w:rsid w:val="004A7D86"/>
    <w:rsid w:val="004B0415"/>
    <w:rsid w:val="004B1A33"/>
    <w:rsid w:val="004B3CD7"/>
    <w:rsid w:val="004B3ED0"/>
    <w:rsid w:val="004B51C2"/>
    <w:rsid w:val="004B5438"/>
    <w:rsid w:val="004B5ACC"/>
    <w:rsid w:val="004B62A4"/>
    <w:rsid w:val="004B6577"/>
    <w:rsid w:val="004B691F"/>
    <w:rsid w:val="004B7606"/>
    <w:rsid w:val="004C0019"/>
    <w:rsid w:val="004C0CFE"/>
    <w:rsid w:val="004C105C"/>
    <w:rsid w:val="004C1667"/>
    <w:rsid w:val="004C190F"/>
    <w:rsid w:val="004C19FB"/>
    <w:rsid w:val="004C4217"/>
    <w:rsid w:val="004C427B"/>
    <w:rsid w:val="004C48E6"/>
    <w:rsid w:val="004C4FDD"/>
    <w:rsid w:val="004C535F"/>
    <w:rsid w:val="004C56D3"/>
    <w:rsid w:val="004C5E19"/>
    <w:rsid w:val="004C6D21"/>
    <w:rsid w:val="004C6EAB"/>
    <w:rsid w:val="004C7058"/>
    <w:rsid w:val="004C7777"/>
    <w:rsid w:val="004D08D1"/>
    <w:rsid w:val="004D0BEE"/>
    <w:rsid w:val="004D15C9"/>
    <w:rsid w:val="004D15F2"/>
    <w:rsid w:val="004D16E4"/>
    <w:rsid w:val="004D2A1F"/>
    <w:rsid w:val="004D2C2D"/>
    <w:rsid w:val="004D345D"/>
    <w:rsid w:val="004D3692"/>
    <w:rsid w:val="004D4F7B"/>
    <w:rsid w:val="004D5289"/>
    <w:rsid w:val="004D6588"/>
    <w:rsid w:val="004D76CD"/>
    <w:rsid w:val="004D7C10"/>
    <w:rsid w:val="004D7E5D"/>
    <w:rsid w:val="004D7EAF"/>
    <w:rsid w:val="004E07DA"/>
    <w:rsid w:val="004E0901"/>
    <w:rsid w:val="004E11A3"/>
    <w:rsid w:val="004E183A"/>
    <w:rsid w:val="004E1C0A"/>
    <w:rsid w:val="004E2D56"/>
    <w:rsid w:val="004E38F5"/>
    <w:rsid w:val="004E3B53"/>
    <w:rsid w:val="004E3BD1"/>
    <w:rsid w:val="004E4046"/>
    <w:rsid w:val="004E4FC0"/>
    <w:rsid w:val="004E590F"/>
    <w:rsid w:val="004E5FA4"/>
    <w:rsid w:val="004E6F81"/>
    <w:rsid w:val="004E6FCF"/>
    <w:rsid w:val="004E77D5"/>
    <w:rsid w:val="004E79AE"/>
    <w:rsid w:val="004E7B30"/>
    <w:rsid w:val="004E7E5D"/>
    <w:rsid w:val="004F0680"/>
    <w:rsid w:val="004F0835"/>
    <w:rsid w:val="004F11CB"/>
    <w:rsid w:val="004F13B5"/>
    <w:rsid w:val="004F157D"/>
    <w:rsid w:val="004F2706"/>
    <w:rsid w:val="004F2826"/>
    <w:rsid w:val="004F28ED"/>
    <w:rsid w:val="004F2A0D"/>
    <w:rsid w:val="004F310C"/>
    <w:rsid w:val="004F35F9"/>
    <w:rsid w:val="004F370C"/>
    <w:rsid w:val="004F4C07"/>
    <w:rsid w:val="004F4E0E"/>
    <w:rsid w:val="004F5543"/>
    <w:rsid w:val="004F590B"/>
    <w:rsid w:val="004F5F50"/>
    <w:rsid w:val="004F6C5E"/>
    <w:rsid w:val="004F7486"/>
    <w:rsid w:val="004F7961"/>
    <w:rsid w:val="004F7AAA"/>
    <w:rsid w:val="005000FF"/>
    <w:rsid w:val="0050041F"/>
    <w:rsid w:val="0050074B"/>
    <w:rsid w:val="00500A8A"/>
    <w:rsid w:val="00501AD3"/>
    <w:rsid w:val="00501DA0"/>
    <w:rsid w:val="0050242E"/>
    <w:rsid w:val="00502A01"/>
    <w:rsid w:val="00502FCB"/>
    <w:rsid w:val="005039A7"/>
    <w:rsid w:val="00503B42"/>
    <w:rsid w:val="00503D4E"/>
    <w:rsid w:val="00503EC0"/>
    <w:rsid w:val="0050482A"/>
    <w:rsid w:val="00504ACA"/>
    <w:rsid w:val="00505492"/>
    <w:rsid w:val="005058DD"/>
    <w:rsid w:val="00506C59"/>
    <w:rsid w:val="00507730"/>
    <w:rsid w:val="00507C50"/>
    <w:rsid w:val="0051067E"/>
    <w:rsid w:val="005106F3"/>
    <w:rsid w:val="00510A91"/>
    <w:rsid w:val="00511A13"/>
    <w:rsid w:val="00511FB3"/>
    <w:rsid w:val="0051299A"/>
    <w:rsid w:val="00514263"/>
    <w:rsid w:val="005143A4"/>
    <w:rsid w:val="00514C42"/>
    <w:rsid w:val="00515423"/>
    <w:rsid w:val="00515513"/>
    <w:rsid w:val="00515705"/>
    <w:rsid w:val="0051590B"/>
    <w:rsid w:val="00515EC4"/>
    <w:rsid w:val="005164A9"/>
    <w:rsid w:val="00516E84"/>
    <w:rsid w:val="005175FC"/>
    <w:rsid w:val="00520AFD"/>
    <w:rsid w:val="0052107C"/>
    <w:rsid w:val="005211C4"/>
    <w:rsid w:val="00521417"/>
    <w:rsid w:val="005218D7"/>
    <w:rsid w:val="00521FA0"/>
    <w:rsid w:val="00523630"/>
    <w:rsid w:val="005242C4"/>
    <w:rsid w:val="00524ECB"/>
    <w:rsid w:val="005251C9"/>
    <w:rsid w:val="00525831"/>
    <w:rsid w:val="00525FC1"/>
    <w:rsid w:val="005260FB"/>
    <w:rsid w:val="0052662C"/>
    <w:rsid w:val="00526E97"/>
    <w:rsid w:val="00527347"/>
    <w:rsid w:val="005277A0"/>
    <w:rsid w:val="005279BA"/>
    <w:rsid w:val="00530150"/>
    <w:rsid w:val="00530A9C"/>
    <w:rsid w:val="00530DC3"/>
    <w:rsid w:val="00530DD4"/>
    <w:rsid w:val="005311D5"/>
    <w:rsid w:val="005311EF"/>
    <w:rsid w:val="005313A9"/>
    <w:rsid w:val="00531D8E"/>
    <w:rsid w:val="00532012"/>
    <w:rsid w:val="0053291B"/>
    <w:rsid w:val="00532D53"/>
    <w:rsid w:val="00533C2B"/>
    <w:rsid w:val="00534763"/>
    <w:rsid w:val="00534ACA"/>
    <w:rsid w:val="00535225"/>
    <w:rsid w:val="00535483"/>
    <w:rsid w:val="00535C2E"/>
    <w:rsid w:val="00535EAA"/>
    <w:rsid w:val="005361E0"/>
    <w:rsid w:val="00536E13"/>
    <w:rsid w:val="0053797B"/>
    <w:rsid w:val="00537A24"/>
    <w:rsid w:val="00537A82"/>
    <w:rsid w:val="005400B0"/>
    <w:rsid w:val="005405BB"/>
    <w:rsid w:val="00540B89"/>
    <w:rsid w:val="00541681"/>
    <w:rsid w:val="005419AB"/>
    <w:rsid w:val="00541F6D"/>
    <w:rsid w:val="005420F0"/>
    <w:rsid w:val="005430EB"/>
    <w:rsid w:val="005434F7"/>
    <w:rsid w:val="00543603"/>
    <w:rsid w:val="00543825"/>
    <w:rsid w:val="00543880"/>
    <w:rsid w:val="00543E93"/>
    <w:rsid w:val="00543EC9"/>
    <w:rsid w:val="00544664"/>
    <w:rsid w:val="00544E78"/>
    <w:rsid w:val="0054595C"/>
    <w:rsid w:val="005467BA"/>
    <w:rsid w:val="00546B81"/>
    <w:rsid w:val="00546D04"/>
    <w:rsid w:val="00546E68"/>
    <w:rsid w:val="00547DBD"/>
    <w:rsid w:val="005502D7"/>
    <w:rsid w:val="00550458"/>
    <w:rsid w:val="0055060A"/>
    <w:rsid w:val="0055071C"/>
    <w:rsid w:val="005513CC"/>
    <w:rsid w:val="00551A25"/>
    <w:rsid w:val="00551B36"/>
    <w:rsid w:val="00551BF1"/>
    <w:rsid w:val="005537F6"/>
    <w:rsid w:val="005555E7"/>
    <w:rsid w:val="00555A79"/>
    <w:rsid w:val="00555C01"/>
    <w:rsid w:val="00555DD7"/>
    <w:rsid w:val="00555E6F"/>
    <w:rsid w:val="00557C49"/>
    <w:rsid w:val="00561038"/>
    <w:rsid w:val="00561F8C"/>
    <w:rsid w:val="00562BAD"/>
    <w:rsid w:val="00563377"/>
    <w:rsid w:val="00563B18"/>
    <w:rsid w:val="00563B6B"/>
    <w:rsid w:val="0056428D"/>
    <w:rsid w:val="005645E4"/>
    <w:rsid w:val="0056575D"/>
    <w:rsid w:val="0056579A"/>
    <w:rsid w:val="00565873"/>
    <w:rsid w:val="00565A24"/>
    <w:rsid w:val="0056606E"/>
    <w:rsid w:val="00567A40"/>
    <w:rsid w:val="005703BF"/>
    <w:rsid w:val="00570777"/>
    <w:rsid w:val="005722AF"/>
    <w:rsid w:val="00572941"/>
    <w:rsid w:val="00572A20"/>
    <w:rsid w:val="00573BD5"/>
    <w:rsid w:val="00573FB1"/>
    <w:rsid w:val="00576045"/>
    <w:rsid w:val="00576E5C"/>
    <w:rsid w:val="005771B3"/>
    <w:rsid w:val="00577836"/>
    <w:rsid w:val="00577D00"/>
    <w:rsid w:val="005801E7"/>
    <w:rsid w:val="005802A4"/>
    <w:rsid w:val="005814B9"/>
    <w:rsid w:val="00581F4A"/>
    <w:rsid w:val="00581FFB"/>
    <w:rsid w:val="005820E4"/>
    <w:rsid w:val="005822EE"/>
    <w:rsid w:val="00583CA6"/>
    <w:rsid w:val="005842C3"/>
    <w:rsid w:val="00584D72"/>
    <w:rsid w:val="00585805"/>
    <w:rsid w:val="005859CD"/>
    <w:rsid w:val="00585EB9"/>
    <w:rsid w:val="00585F98"/>
    <w:rsid w:val="005863B6"/>
    <w:rsid w:val="005864F9"/>
    <w:rsid w:val="00586716"/>
    <w:rsid w:val="005869D8"/>
    <w:rsid w:val="005877B3"/>
    <w:rsid w:val="00587888"/>
    <w:rsid w:val="005879EF"/>
    <w:rsid w:val="00587BF3"/>
    <w:rsid w:val="0059016E"/>
    <w:rsid w:val="00590413"/>
    <w:rsid w:val="00590C86"/>
    <w:rsid w:val="00590EC3"/>
    <w:rsid w:val="0059199D"/>
    <w:rsid w:val="00591B04"/>
    <w:rsid w:val="00592D98"/>
    <w:rsid w:val="00593AA3"/>
    <w:rsid w:val="00593B37"/>
    <w:rsid w:val="005944F6"/>
    <w:rsid w:val="00594588"/>
    <w:rsid w:val="005945FE"/>
    <w:rsid w:val="005947D0"/>
    <w:rsid w:val="005949EF"/>
    <w:rsid w:val="00594A0F"/>
    <w:rsid w:val="00595119"/>
    <w:rsid w:val="005962CB"/>
    <w:rsid w:val="005964BC"/>
    <w:rsid w:val="00596BC3"/>
    <w:rsid w:val="00597193"/>
    <w:rsid w:val="0059756F"/>
    <w:rsid w:val="005A095E"/>
    <w:rsid w:val="005A191A"/>
    <w:rsid w:val="005A248C"/>
    <w:rsid w:val="005A3B03"/>
    <w:rsid w:val="005A3ED9"/>
    <w:rsid w:val="005A3FA8"/>
    <w:rsid w:val="005A411F"/>
    <w:rsid w:val="005A475B"/>
    <w:rsid w:val="005A4F56"/>
    <w:rsid w:val="005A5662"/>
    <w:rsid w:val="005A5968"/>
    <w:rsid w:val="005A66E2"/>
    <w:rsid w:val="005A76B0"/>
    <w:rsid w:val="005A7714"/>
    <w:rsid w:val="005A7D30"/>
    <w:rsid w:val="005B0017"/>
    <w:rsid w:val="005B00EC"/>
    <w:rsid w:val="005B0976"/>
    <w:rsid w:val="005B0E81"/>
    <w:rsid w:val="005B14FC"/>
    <w:rsid w:val="005B19FB"/>
    <w:rsid w:val="005B1AEA"/>
    <w:rsid w:val="005B2192"/>
    <w:rsid w:val="005B2B07"/>
    <w:rsid w:val="005B33DD"/>
    <w:rsid w:val="005B369A"/>
    <w:rsid w:val="005B3758"/>
    <w:rsid w:val="005B3C66"/>
    <w:rsid w:val="005B5816"/>
    <w:rsid w:val="005B67E8"/>
    <w:rsid w:val="005B7DD9"/>
    <w:rsid w:val="005C038D"/>
    <w:rsid w:val="005C0EF8"/>
    <w:rsid w:val="005C1022"/>
    <w:rsid w:val="005C192B"/>
    <w:rsid w:val="005C23EB"/>
    <w:rsid w:val="005C2BBC"/>
    <w:rsid w:val="005C3974"/>
    <w:rsid w:val="005C3B74"/>
    <w:rsid w:val="005C3E65"/>
    <w:rsid w:val="005C3FDE"/>
    <w:rsid w:val="005C44F6"/>
    <w:rsid w:val="005C4CF8"/>
    <w:rsid w:val="005C6081"/>
    <w:rsid w:val="005C77E8"/>
    <w:rsid w:val="005D0D54"/>
    <w:rsid w:val="005D0F89"/>
    <w:rsid w:val="005D148B"/>
    <w:rsid w:val="005D15CE"/>
    <w:rsid w:val="005D16B3"/>
    <w:rsid w:val="005D1828"/>
    <w:rsid w:val="005D22B6"/>
    <w:rsid w:val="005D2A89"/>
    <w:rsid w:val="005D4082"/>
    <w:rsid w:val="005D4913"/>
    <w:rsid w:val="005D5B32"/>
    <w:rsid w:val="005D5B96"/>
    <w:rsid w:val="005D6904"/>
    <w:rsid w:val="005D72FD"/>
    <w:rsid w:val="005D77E2"/>
    <w:rsid w:val="005D7F7C"/>
    <w:rsid w:val="005E0696"/>
    <w:rsid w:val="005E07F5"/>
    <w:rsid w:val="005E0971"/>
    <w:rsid w:val="005E10BA"/>
    <w:rsid w:val="005E1572"/>
    <w:rsid w:val="005E1CC4"/>
    <w:rsid w:val="005E2B66"/>
    <w:rsid w:val="005E3D98"/>
    <w:rsid w:val="005E4CCC"/>
    <w:rsid w:val="005E5096"/>
    <w:rsid w:val="005E54A9"/>
    <w:rsid w:val="005F0C84"/>
    <w:rsid w:val="005F0D94"/>
    <w:rsid w:val="005F0DF7"/>
    <w:rsid w:val="005F1063"/>
    <w:rsid w:val="005F1682"/>
    <w:rsid w:val="005F1D59"/>
    <w:rsid w:val="005F26B9"/>
    <w:rsid w:val="005F296A"/>
    <w:rsid w:val="005F2E43"/>
    <w:rsid w:val="005F2F74"/>
    <w:rsid w:val="005F363A"/>
    <w:rsid w:val="005F41A2"/>
    <w:rsid w:val="005F46F9"/>
    <w:rsid w:val="005F4987"/>
    <w:rsid w:val="005F56B8"/>
    <w:rsid w:val="005F6A3E"/>
    <w:rsid w:val="005F6A5F"/>
    <w:rsid w:val="005F6BC4"/>
    <w:rsid w:val="005F6DB1"/>
    <w:rsid w:val="005F7CF7"/>
    <w:rsid w:val="00600539"/>
    <w:rsid w:val="00601322"/>
    <w:rsid w:val="00601424"/>
    <w:rsid w:val="006016D9"/>
    <w:rsid w:val="006027F2"/>
    <w:rsid w:val="00602F60"/>
    <w:rsid w:val="0060365D"/>
    <w:rsid w:val="00603A45"/>
    <w:rsid w:val="00603E49"/>
    <w:rsid w:val="00604355"/>
    <w:rsid w:val="00604578"/>
    <w:rsid w:val="00604FA6"/>
    <w:rsid w:val="006050BF"/>
    <w:rsid w:val="006052E9"/>
    <w:rsid w:val="00605F80"/>
    <w:rsid w:val="006069D1"/>
    <w:rsid w:val="00606E96"/>
    <w:rsid w:val="0060784C"/>
    <w:rsid w:val="00607F6D"/>
    <w:rsid w:val="00610011"/>
    <w:rsid w:val="006116D5"/>
    <w:rsid w:val="00611737"/>
    <w:rsid w:val="0061210F"/>
    <w:rsid w:val="006122B3"/>
    <w:rsid w:val="00612C27"/>
    <w:rsid w:val="00612CAB"/>
    <w:rsid w:val="00613998"/>
    <w:rsid w:val="00613D8F"/>
    <w:rsid w:val="00613F18"/>
    <w:rsid w:val="00614530"/>
    <w:rsid w:val="00614573"/>
    <w:rsid w:val="00614EE3"/>
    <w:rsid w:val="00614F5A"/>
    <w:rsid w:val="006154D7"/>
    <w:rsid w:val="00615FEA"/>
    <w:rsid w:val="006165E3"/>
    <w:rsid w:val="00616780"/>
    <w:rsid w:val="00617394"/>
    <w:rsid w:val="0061763C"/>
    <w:rsid w:val="00617874"/>
    <w:rsid w:val="00617938"/>
    <w:rsid w:val="006209E2"/>
    <w:rsid w:val="00621726"/>
    <w:rsid w:val="006221D0"/>
    <w:rsid w:val="00622273"/>
    <w:rsid w:val="00622A92"/>
    <w:rsid w:val="00622D98"/>
    <w:rsid w:val="0062427C"/>
    <w:rsid w:val="0062490F"/>
    <w:rsid w:val="00625371"/>
    <w:rsid w:val="006265E2"/>
    <w:rsid w:val="006268E8"/>
    <w:rsid w:val="00626B6E"/>
    <w:rsid w:val="00626DA8"/>
    <w:rsid w:val="006271CA"/>
    <w:rsid w:val="006273B0"/>
    <w:rsid w:val="00630807"/>
    <w:rsid w:val="0063125A"/>
    <w:rsid w:val="00633447"/>
    <w:rsid w:val="0063393C"/>
    <w:rsid w:val="00633C2D"/>
    <w:rsid w:val="006342FC"/>
    <w:rsid w:val="006349BF"/>
    <w:rsid w:val="00634C6E"/>
    <w:rsid w:val="0063515B"/>
    <w:rsid w:val="006362D2"/>
    <w:rsid w:val="0064053E"/>
    <w:rsid w:val="0064083B"/>
    <w:rsid w:val="00640934"/>
    <w:rsid w:val="00640CB4"/>
    <w:rsid w:val="00640DDC"/>
    <w:rsid w:val="00640EDB"/>
    <w:rsid w:val="00641852"/>
    <w:rsid w:val="00641DA0"/>
    <w:rsid w:val="00641FA9"/>
    <w:rsid w:val="006428D0"/>
    <w:rsid w:val="00643B78"/>
    <w:rsid w:val="00643DF8"/>
    <w:rsid w:val="006443E6"/>
    <w:rsid w:val="0064463C"/>
    <w:rsid w:val="006459F6"/>
    <w:rsid w:val="00646F81"/>
    <w:rsid w:val="00647055"/>
    <w:rsid w:val="006473AC"/>
    <w:rsid w:val="006502C4"/>
    <w:rsid w:val="006507F6"/>
    <w:rsid w:val="006508DA"/>
    <w:rsid w:val="0065093A"/>
    <w:rsid w:val="0065209B"/>
    <w:rsid w:val="00652643"/>
    <w:rsid w:val="006526C1"/>
    <w:rsid w:val="006532B4"/>
    <w:rsid w:val="00653972"/>
    <w:rsid w:val="00653A4F"/>
    <w:rsid w:val="00653B6E"/>
    <w:rsid w:val="00654131"/>
    <w:rsid w:val="00654D17"/>
    <w:rsid w:val="006554F8"/>
    <w:rsid w:val="0065590B"/>
    <w:rsid w:val="00655F6A"/>
    <w:rsid w:val="00656707"/>
    <w:rsid w:val="00656BEF"/>
    <w:rsid w:val="00657146"/>
    <w:rsid w:val="006602F5"/>
    <w:rsid w:val="00660711"/>
    <w:rsid w:val="00660789"/>
    <w:rsid w:val="00660836"/>
    <w:rsid w:val="006615C8"/>
    <w:rsid w:val="0066202C"/>
    <w:rsid w:val="00663033"/>
    <w:rsid w:val="00663B10"/>
    <w:rsid w:val="00664193"/>
    <w:rsid w:val="0066419C"/>
    <w:rsid w:val="00665519"/>
    <w:rsid w:val="00665FAC"/>
    <w:rsid w:val="006703D0"/>
    <w:rsid w:val="00670F8B"/>
    <w:rsid w:val="00672255"/>
    <w:rsid w:val="00672383"/>
    <w:rsid w:val="0067259D"/>
    <w:rsid w:val="006728C5"/>
    <w:rsid w:val="00672983"/>
    <w:rsid w:val="006739CE"/>
    <w:rsid w:val="0067568E"/>
    <w:rsid w:val="006759AC"/>
    <w:rsid w:val="006762B0"/>
    <w:rsid w:val="00676954"/>
    <w:rsid w:val="006771C3"/>
    <w:rsid w:val="00677309"/>
    <w:rsid w:val="00677DE4"/>
    <w:rsid w:val="00677FE4"/>
    <w:rsid w:val="00680168"/>
    <w:rsid w:val="00680ED1"/>
    <w:rsid w:val="00681937"/>
    <w:rsid w:val="00681ABB"/>
    <w:rsid w:val="00681DBA"/>
    <w:rsid w:val="006825BA"/>
    <w:rsid w:val="00683C26"/>
    <w:rsid w:val="0068429B"/>
    <w:rsid w:val="00685013"/>
    <w:rsid w:val="00685741"/>
    <w:rsid w:val="006865AD"/>
    <w:rsid w:val="0068697A"/>
    <w:rsid w:val="00687A94"/>
    <w:rsid w:val="00687D00"/>
    <w:rsid w:val="00690AB9"/>
    <w:rsid w:val="00690F4F"/>
    <w:rsid w:val="00691437"/>
    <w:rsid w:val="00692FE0"/>
    <w:rsid w:val="00693C99"/>
    <w:rsid w:val="006946FA"/>
    <w:rsid w:val="006954E0"/>
    <w:rsid w:val="006954FA"/>
    <w:rsid w:val="006965E1"/>
    <w:rsid w:val="00696791"/>
    <w:rsid w:val="006968F0"/>
    <w:rsid w:val="006973E2"/>
    <w:rsid w:val="00697436"/>
    <w:rsid w:val="006976F9"/>
    <w:rsid w:val="006A05E3"/>
    <w:rsid w:val="006A078C"/>
    <w:rsid w:val="006A3CC5"/>
    <w:rsid w:val="006A43C7"/>
    <w:rsid w:val="006A4838"/>
    <w:rsid w:val="006A4E04"/>
    <w:rsid w:val="006A5AD8"/>
    <w:rsid w:val="006A5C59"/>
    <w:rsid w:val="006A5D85"/>
    <w:rsid w:val="006A5DD2"/>
    <w:rsid w:val="006A5F25"/>
    <w:rsid w:val="006A68E7"/>
    <w:rsid w:val="006A6B9A"/>
    <w:rsid w:val="006A73C8"/>
    <w:rsid w:val="006A7650"/>
    <w:rsid w:val="006B030A"/>
    <w:rsid w:val="006B0342"/>
    <w:rsid w:val="006B0860"/>
    <w:rsid w:val="006B1225"/>
    <w:rsid w:val="006B125A"/>
    <w:rsid w:val="006B1A5C"/>
    <w:rsid w:val="006B2ACC"/>
    <w:rsid w:val="006B2EE3"/>
    <w:rsid w:val="006B3116"/>
    <w:rsid w:val="006B3266"/>
    <w:rsid w:val="006B3BC7"/>
    <w:rsid w:val="006B4BC2"/>
    <w:rsid w:val="006B546A"/>
    <w:rsid w:val="006B55B9"/>
    <w:rsid w:val="006B5DBB"/>
    <w:rsid w:val="006B61E3"/>
    <w:rsid w:val="006B6D94"/>
    <w:rsid w:val="006B6E2C"/>
    <w:rsid w:val="006B6F1F"/>
    <w:rsid w:val="006B749F"/>
    <w:rsid w:val="006C065E"/>
    <w:rsid w:val="006C0724"/>
    <w:rsid w:val="006C08D4"/>
    <w:rsid w:val="006C0FBB"/>
    <w:rsid w:val="006C1002"/>
    <w:rsid w:val="006C13E8"/>
    <w:rsid w:val="006C17D4"/>
    <w:rsid w:val="006C19A7"/>
    <w:rsid w:val="006C1A05"/>
    <w:rsid w:val="006C2193"/>
    <w:rsid w:val="006C24C1"/>
    <w:rsid w:val="006C26C5"/>
    <w:rsid w:val="006C2AAE"/>
    <w:rsid w:val="006C2B81"/>
    <w:rsid w:val="006C2BB6"/>
    <w:rsid w:val="006C3698"/>
    <w:rsid w:val="006C3C02"/>
    <w:rsid w:val="006C3DED"/>
    <w:rsid w:val="006C4937"/>
    <w:rsid w:val="006C4C8C"/>
    <w:rsid w:val="006C52E7"/>
    <w:rsid w:val="006C5DBE"/>
    <w:rsid w:val="006C608C"/>
    <w:rsid w:val="006C6FD3"/>
    <w:rsid w:val="006C7652"/>
    <w:rsid w:val="006C7B8E"/>
    <w:rsid w:val="006D0912"/>
    <w:rsid w:val="006D0FE8"/>
    <w:rsid w:val="006D1233"/>
    <w:rsid w:val="006D1F40"/>
    <w:rsid w:val="006D23C5"/>
    <w:rsid w:val="006D29C5"/>
    <w:rsid w:val="006D2C73"/>
    <w:rsid w:val="006D587F"/>
    <w:rsid w:val="006D6870"/>
    <w:rsid w:val="006D7014"/>
    <w:rsid w:val="006D724B"/>
    <w:rsid w:val="006D7436"/>
    <w:rsid w:val="006D76D0"/>
    <w:rsid w:val="006E00EB"/>
    <w:rsid w:val="006E07D4"/>
    <w:rsid w:val="006E1250"/>
    <w:rsid w:val="006E1901"/>
    <w:rsid w:val="006E262B"/>
    <w:rsid w:val="006E2B46"/>
    <w:rsid w:val="006E3197"/>
    <w:rsid w:val="006E36C9"/>
    <w:rsid w:val="006E4EE8"/>
    <w:rsid w:val="006E5400"/>
    <w:rsid w:val="006E5E4A"/>
    <w:rsid w:val="006E60EC"/>
    <w:rsid w:val="006E6D74"/>
    <w:rsid w:val="006E778C"/>
    <w:rsid w:val="006E784E"/>
    <w:rsid w:val="006E7AE2"/>
    <w:rsid w:val="006F08B7"/>
    <w:rsid w:val="006F1E2C"/>
    <w:rsid w:val="006F1E3C"/>
    <w:rsid w:val="006F1F7D"/>
    <w:rsid w:val="006F2097"/>
    <w:rsid w:val="006F2142"/>
    <w:rsid w:val="006F301F"/>
    <w:rsid w:val="006F3EC0"/>
    <w:rsid w:val="006F4774"/>
    <w:rsid w:val="006F47AD"/>
    <w:rsid w:val="006F4B5E"/>
    <w:rsid w:val="006F4CDD"/>
    <w:rsid w:val="006F515E"/>
    <w:rsid w:val="006F5B6E"/>
    <w:rsid w:val="006F7089"/>
    <w:rsid w:val="006F7AF9"/>
    <w:rsid w:val="00700848"/>
    <w:rsid w:val="007008FA"/>
    <w:rsid w:val="00700970"/>
    <w:rsid w:val="00700D7C"/>
    <w:rsid w:val="00700FE2"/>
    <w:rsid w:val="007010B7"/>
    <w:rsid w:val="00702776"/>
    <w:rsid w:val="00702963"/>
    <w:rsid w:val="00702A6B"/>
    <w:rsid w:val="0070300D"/>
    <w:rsid w:val="00703265"/>
    <w:rsid w:val="00703498"/>
    <w:rsid w:val="007035DB"/>
    <w:rsid w:val="007036D1"/>
    <w:rsid w:val="0070447A"/>
    <w:rsid w:val="00704A59"/>
    <w:rsid w:val="00704BAC"/>
    <w:rsid w:val="007065AE"/>
    <w:rsid w:val="00707888"/>
    <w:rsid w:val="00707A7C"/>
    <w:rsid w:val="00707B9C"/>
    <w:rsid w:val="00710628"/>
    <w:rsid w:val="00710F9F"/>
    <w:rsid w:val="00711B8E"/>
    <w:rsid w:val="0071252A"/>
    <w:rsid w:val="007128D6"/>
    <w:rsid w:val="00712A0D"/>
    <w:rsid w:val="00712A81"/>
    <w:rsid w:val="00712CE3"/>
    <w:rsid w:val="00712CEB"/>
    <w:rsid w:val="00713AE1"/>
    <w:rsid w:val="00713CFF"/>
    <w:rsid w:val="007154FB"/>
    <w:rsid w:val="00715858"/>
    <w:rsid w:val="00715EDA"/>
    <w:rsid w:val="00715EE3"/>
    <w:rsid w:val="00716653"/>
    <w:rsid w:val="00716D27"/>
    <w:rsid w:val="0071724A"/>
    <w:rsid w:val="0071736C"/>
    <w:rsid w:val="00720622"/>
    <w:rsid w:val="00720A60"/>
    <w:rsid w:val="00720AEB"/>
    <w:rsid w:val="00720E39"/>
    <w:rsid w:val="00721022"/>
    <w:rsid w:val="00721A61"/>
    <w:rsid w:val="00721C47"/>
    <w:rsid w:val="00722040"/>
    <w:rsid w:val="007239A5"/>
    <w:rsid w:val="00724EC1"/>
    <w:rsid w:val="0072591F"/>
    <w:rsid w:val="00725D42"/>
    <w:rsid w:val="00725DFE"/>
    <w:rsid w:val="0072641C"/>
    <w:rsid w:val="00727D40"/>
    <w:rsid w:val="00730539"/>
    <w:rsid w:val="00730544"/>
    <w:rsid w:val="00732029"/>
    <w:rsid w:val="0073215F"/>
    <w:rsid w:val="007324AB"/>
    <w:rsid w:val="00732729"/>
    <w:rsid w:val="007329C7"/>
    <w:rsid w:val="00732A40"/>
    <w:rsid w:val="007338A9"/>
    <w:rsid w:val="00733D46"/>
    <w:rsid w:val="00733F41"/>
    <w:rsid w:val="0073496E"/>
    <w:rsid w:val="00734FBE"/>
    <w:rsid w:val="00735135"/>
    <w:rsid w:val="00735171"/>
    <w:rsid w:val="00737127"/>
    <w:rsid w:val="00737A57"/>
    <w:rsid w:val="0074147E"/>
    <w:rsid w:val="0074183F"/>
    <w:rsid w:val="00742B30"/>
    <w:rsid w:val="007435A1"/>
    <w:rsid w:val="007435A7"/>
    <w:rsid w:val="007444F1"/>
    <w:rsid w:val="00744A2E"/>
    <w:rsid w:val="00744A8B"/>
    <w:rsid w:val="007453E8"/>
    <w:rsid w:val="00745569"/>
    <w:rsid w:val="0074571E"/>
    <w:rsid w:val="00745799"/>
    <w:rsid w:val="007467FB"/>
    <w:rsid w:val="00746A1B"/>
    <w:rsid w:val="007473AD"/>
    <w:rsid w:val="007473E3"/>
    <w:rsid w:val="00747C46"/>
    <w:rsid w:val="00750358"/>
    <w:rsid w:val="007509B7"/>
    <w:rsid w:val="00751427"/>
    <w:rsid w:val="00751F54"/>
    <w:rsid w:val="007525E5"/>
    <w:rsid w:val="00752991"/>
    <w:rsid w:val="00753412"/>
    <w:rsid w:val="007539E5"/>
    <w:rsid w:val="00753AA4"/>
    <w:rsid w:val="00753CC9"/>
    <w:rsid w:val="00753D44"/>
    <w:rsid w:val="0075418D"/>
    <w:rsid w:val="00754313"/>
    <w:rsid w:val="007543B3"/>
    <w:rsid w:val="00755C1A"/>
    <w:rsid w:val="00755DF5"/>
    <w:rsid w:val="00756107"/>
    <w:rsid w:val="007562C8"/>
    <w:rsid w:val="00756335"/>
    <w:rsid w:val="00756F86"/>
    <w:rsid w:val="007575DE"/>
    <w:rsid w:val="0075796E"/>
    <w:rsid w:val="00760587"/>
    <w:rsid w:val="00761893"/>
    <w:rsid w:val="007618E1"/>
    <w:rsid w:val="007622B3"/>
    <w:rsid w:val="007623C8"/>
    <w:rsid w:val="007633A7"/>
    <w:rsid w:val="00763AEF"/>
    <w:rsid w:val="00763EC4"/>
    <w:rsid w:val="00765DC6"/>
    <w:rsid w:val="00765FDA"/>
    <w:rsid w:val="00770657"/>
    <w:rsid w:val="00770DC8"/>
    <w:rsid w:val="00770E31"/>
    <w:rsid w:val="007728AC"/>
    <w:rsid w:val="00772D75"/>
    <w:rsid w:val="0077331E"/>
    <w:rsid w:val="00774B54"/>
    <w:rsid w:val="0077513A"/>
    <w:rsid w:val="0077548D"/>
    <w:rsid w:val="00775C19"/>
    <w:rsid w:val="00775DD4"/>
    <w:rsid w:val="00776342"/>
    <w:rsid w:val="007763A4"/>
    <w:rsid w:val="00776CE4"/>
    <w:rsid w:val="00776E7C"/>
    <w:rsid w:val="0077716A"/>
    <w:rsid w:val="0078006B"/>
    <w:rsid w:val="0078175E"/>
    <w:rsid w:val="00781BE4"/>
    <w:rsid w:val="00781C8F"/>
    <w:rsid w:val="0078319B"/>
    <w:rsid w:val="0078357F"/>
    <w:rsid w:val="007839FF"/>
    <w:rsid w:val="00783B61"/>
    <w:rsid w:val="00783BCD"/>
    <w:rsid w:val="00784215"/>
    <w:rsid w:val="007850C5"/>
    <w:rsid w:val="007853A1"/>
    <w:rsid w:val="00785842"/>
    <w:rsid w:val="00786240"/>
    <w:rsid w:val="00786926"/>
    <w:rsid w:val="00786E2B"/>
    <w:rsid w:val="00787661"/>
    <w:rsid w:val="007877D6"/>
    <w:rsid w:val="007878A9"/>
    <w:rsid w:val="007908FB"/>
    <w:rsid w:val="00790B9C"/>
    <w:rsid w:val="00790EF6"/>
    <w:rsid w:val="007919DB"/>
    <w:rsid w:val="007919E9"/>
    <w:rsid w:val="00791A24"/>
    <w:rsid w:val="00792AC4"/>
    <w:rsid w:val="00793676"/>
    <w:rsid w:val="00793738"/>
    <w:rsid w:val="00793789"/>
    <w:rsid w:val="007938D0"/>
    <w:rsid w:val="00793B93"/>
    <w:rsid w:val="00793D7D"/>
    <w:rsid w:val="00793F73"/>
    <w:rsid w:val="00794519"/>
    <w:rsid w:val="00796921"/>
    <w:rsid w:val="00796AA2"/>
    <w:rsid w:val="00796D55"/>
    <w:rsid w:val="0079744E"/>
    <w:rsid w:val="007A02DD"/>
    <w:rsid w:val="007A037B"/>
    <w:rsid w:val="007A0CCB"/>
    <w:rsid w:val="007A25A2"/>
    <w:rsid w:val="007A276C"/>
    <w:rsid w:val="007A2B89"/>
    <w:rsid w:val="007A2DE4"/>
    <w:rsid w:val="007A3327"/>
    <w:rsid w:val="007A3ABA"/>
    <w:rsid w:val="007A3FF6"/>
    <w:rsid w:val="007A4214"/>
    <w:rsid w:val="007A51AF"/>
    <w:rsid w:val="007A5293"/>
    <w:rsid w:val="007A7302"/>
    <w:rsid w:val="007A7855"/>
    <w:rsid w:val="007A7BF0"/>
    <w:rsid w:val="007B03A8"/>
    <w:rsid w:val="007B0939"/>
    <w:rsid w:val="007B09CC"/>
    <w:rsid w:val="007B1966"/>
    <w:rsid w:val="007B1A7B"/>
    <w:rsid w:val="007B1D5A"/>
    <w:rsid w:val="007B2FC6"/>
    <w:rsid w:val="007B31A0"/>
    <w:rsid w:val="007B39E8"/>
    <w:rsid w:val="007B4C45"/>
    <w:rsid w:val="007B4F57"/>
    <w:rsid w:val="007B5748"/>
    <w:rsid w:val="007B5AA3"/>
    <w:rsid w:val="007B6ABA"/>
    <w:rsid w:val="007B791B"/>
    <w:rsid w:val="007C096A"/>
    <w:rsid w:val="007C0E99"/>
    <w:rsid w:val="007C146A"/>
    <w:rsid w:val="007C1790"/>
    <w:rsid w:val="007C19C5"/>
    <w:rsid w:val="007C1ACC"/>
    <w:rsid w:val="007C1B6E"/>
    <w:rsid w:val="007C2D61"/>
    <w:rsid w:val="007C311F"/>
    <w:rsid w:val="007C3BBA"/>
    <w:rsid w:val="007C43BB"/>
    <w:rsid w:val="007C5056"/>
    <w:rsid w:val="007C524E"/>
    <w:rsid w:val="007C5590"/>
    <w:rsid w:val="007C6000"/>
    <w:rsid w:val="007C6DAE"/>
    <w:rsid w:val="007D038F"/>
    <w:rsid w:val="007D0D73"/>
    <w:rsid w:val="007D13FF"/>
    <w:rsid w:val="007D2124"/>
    <w:rsid w:val="007D31A2"/>
    <w:rsid w:val="007D32AD"/>
    <w:rsid w:val="007D57C2"/>
    <w:rsid w:val="007D5B37"/>
    <w:rsid w:val="007D5CC8"/>
    <w:rsid w:val="007D5D1A"/>
    <w:rsid w:val="007D64DE"/>
    <w:rsid w:val="007D6BEC"/>
    <w:rsid w:val="007D6BFC"/>
    <w:rsid w:val="007D6CAC"/>
    <w:rsid w:val="007D6FB2"/>
    <w:rsid w:val="007D6FD5"/>
    <w:rsid w:val="007D792E"/>
    <w:rsid w:val="007E03CB"/>
    <w:rsid w:val="007E0FAC"/>
    <w:rsid w:val="007E1270"/>
    <w:rsid w:val="007E2346"/>
    <w:rsid w:val="007E2F69"/>
    <w:rsid w:val="007E4326"/>
    <w:rsid w:val="007E5321"/>
    <w:rsid w:val="007E5792"/>
    <w:rsid w:val="007E5D00"/>
    <w:rsid w:val="007E5DFC"/>
    <w:rsid w:val="007E608C"/>
    <w:rsid w:val="007E6471"/>
    <w:rsid w:val="007E6EFC"/>
    <w:rsid w:val="007E7C65"/>
    <w:rsid w:val="007F013E"/>
    <w:rsid w:val="007F0B22"/>
    <w:rsid w:val="007F1D6B"/>
    <w:rsid w:val="007F2780"/>
    <w:rsid w:val="007F27D0"/>
    <w:rsid w:val="007F4726"/>
    <w:rsid w:val="007F4980"/>
    <w:rsid w:val="007F4C3D"/>
    <w:rsid w:val="007F4EDF"/>
    <w:rsid w:val="007F5021"/>
    <w:rsid w:val="007F5737"/>
    <w:rsid w:val="007F5AA5"/>
    <w:rsid w:val="007F6A4C"/>
    <w:rsid w:val="007F6D1D"/>
    <w:rsid w:val="007F6E40"/>
    <w:rsid w:val="007F7C30"/>
    <w:rsid w:val="007F7C4A"/>
    <w:rsid w:val="0080000D"/>
    <w:rsid w:val="008017DA"/>
    <w:rsid w:val="008021B2"/>
    <w:rsid w:val="00802BBF"/>
    <w:rsid w:val="00803703"/>
    <w:rsid w:val="00804A9A"/>
    <w:rsid w:val="00804ABB"/>
    <w:rsid w:val="00804B87"/>
    <w:rsid w:val="0080706F"/>
    <w:rsid w:val="008075F7"/>
    <w:rsid w:val="00807D3C"/>
    <w:rsid w:val="00810353"/>
    <w:rsid w:val="00810AAB"/>
    <w:rsid w:val="00811FA3"/>
    <w:rsid w:val="008127E9"/>
    <w:rsid w:val="00812E3F"/>
    <w:rsid w:val="008130BB"/>
    <w:rsid w:val="00815D14"/>
    <w:rsid w:val="00815F0D"/>
    <w:rsid w:val="00816002"/>
    <w:rsid w:val="008162F9"/>
    <w:rsid w:val="008165BC"/>
    <w:rsid w:val="00817157"/>
    <w:rsid w:val="00817206"/>
    <w:rsid w:val="00820051"/>
    <w:rsid w:val="00820DED"/>
    <w:rsid w:val="00821E53"/>
    <w:rsid w:val="008224ED"/>
    <w:rsid w:val="00823BA7"/>
    <w:rsid w:val="00823C0E"/>
    <w:rsid w:val="008252B5"/>
    <w:rsid w:val="00825305"/>
    <w:rsid w:val="00825C26"/>
    <w:rsid w:val="00825D38"/>
    <w:rsid w:val="00826068"/>
    <w:rsid w:val="00826680"/>
    <w:rsid w:val="00826751"/>
    <w:rsid w:val="00826C8A"/>
    <w:rsid w:val="00826EA0"/>
    <w:rsid w:val="0082707E"/>
    <w:rsid w:val="00827262"/>
    <w:rsid w:val="00827311"/>
    <w:rsid w:val="008273D1"/>
    <w:rsid w:val="00827B22"/>
    <w:rsid w:val="00830005"/>
    <w:rsid w:val="00830461"/>
    <w:rsid w:val="0083077E"/>
    <w:rsid w:val="008311FF"/>
    <w:rsid w:val="00831509"/>
    <w:rsid w:val="008326A4"/>
    <w:rsid w:val="00832BB3"/>
    <w:rsid w:val="00833C03"/>
    <w:rsid w:val="0083413D"/>
    <w:rsid w:val="008353D0"/>
    <w:rsid w:val="00835C25"/>
    <w:rsid w:val="00835DE3"/>
    <w:rsid w:val="008363E7"/>
    <w:rsid w:val="008367EF"/>
    <w:rsid w:val="008369CA"/>
    <w:rsid w:val="008374FC"/>
    <w:rsid w:val="00837571"/>
    <w:rsid w:val="00840422"/>
    <w:rsid w:val="00840B44"/>
    <w:rsid w:val="00840C37"/>
    <w:rsid w:val="00841168"/>
    <w:rsid w:val="0084185D"/>
    <w:rsid w:val="00841A3E"/>
    <w:rsid w:val="00841C93"/>
    <w:rsid w:val="00841DCE"/>
    <w:rsid w:val="0084226F"/>
    <w:rsid w:val="00843A2D"/>
    <w:rsid w:val="008443B9"/>
    <w:rsid w:val="008443F5"/>
    <w:rsid w:val="008477C7"/>
    <w:rsid w:val="0084797F"/>
    <w:rsid w:val="008505FB"/>
    <w:rsid w:val="00850DB7"/>
    <w:rsid w:val="00850F56"/>
    <w:rsid w:val="00851871"/>
    <w:rsid w:val="00851AF1"/>
    <w:rsid w:val="008525D3"/>
    <w:rsid w:val="008528DB"/>
    <w:rsid w:val="00852D87"/>
    <w:rsid w:val="00853070"/>
    <w:rsid w:val="008531F6"/>
    <w:rsid w:val="00853338"/>
    <w:rsid w:val="0085356E"/>
    <w:rsid w:val="00853764"/>
    <w:rsid w:val="00853DAF"/>
    <w:rsid w:val="00854B64"/>
    <w:rsid w:val="00855B99"/>
    <w:rsid w:val="0085641C"/>
    <w:rsid w:val="008568BF"/>
    <w:rsid w:val="00856A14"/>
    <w:rsid w:val="00856A2C"/>
    <w:rsid w:val="00856B23"/>
    <w:rsid w:val="00857394"/>
    <w:rsid w:val="00857A0F"/>
    <w:rsid w:val="00857A94"/>
    <w:rsid w:val="008606A8"/>
    <w:rsid w:val="0086097E"/>
    <w:rsid w:val="008612DB"/>
    <w:rsid w:val="0086156E"/>
    <w:rsid w:val="00862E37"/>
    <w:rsid w:val="0086371F"/>
    <w:rsid w:val="008647DE"/>
    <w:rsid w:val="00864C28"/>
    <w:rsid w:val="00865C08"/>
    <w:rsid w:val="0086672F"/>
    <w:rsid w:val="0086747E"/>
    <w:rsid w:val="00867935"/>
    <w:rsid w:val="00867B39"/>
    <w:rsid w:val="00867BB1"/>
    <w:rsid w:val="00867E32"/>
    <w:rsid w:val="0087016C"/>
    <w:rsid w:val="008706D9"/>
    <w:rsid w:val="00870F74"/>
    <w:rsid w:val="00871150"/>
    <w:rsid w:val="0087187D"/>
    <w:rsid w:val="008718ED"/>
    <w:rsid w:val="00873789"/>
    <w:rsid w:val="00874652"/>
    <w:rsid w:val="00874DEF"/>
    <w:rsid w:val="008755E6"/>
    <w:rsid w:val="0087566B"/>
    <w:rsid w:val="00875690"/>
    <w:rsid w:val="008767C2"/>
    <w:rsid w:val="00877C19"/>
    <w:rsid w:val="008807C0"/>
    <w:rsid w:val="00880F3C"/>
    <w:rsid w:val="00881A0B"/>
    <w:rsid w:val="00881D4B"/>
    <w:rsid w:val="00882B5A"/>
    <w:rsid w:val="00883023"/>
    <w:rsid w:val="008831EA"/>
    <w:rsid w:val="0088338B"/>
    <w:rsid w:val="008834E3"/>
    <w:rsid w:val="00883AB1"/>
    <w:rsid w:val="00883D6D"/>
    <w:rsid w:val="00884799"/>
    <w:rsid w:val="0088491A"/>
    <w:rsid w:val="00885D1E"/>
    <w:rsid w:val="00886367"/>
    <w:rsid w:val="0088662A"/>
    <w:rsid w:val="00886C14"/>
    <w:rsid w:val="008876FD"/>
    <w:rsid w:val="00887E48"/>
    <w:rsid w:val="00890814"/>
    <w:rsid w:val="00891837"/>
    <w:rsid w:val="00891BDF"/>
    <w:rsid w:val="00892270"/>
    <w:rsid w:val="00892606"/>
    <w:rsid w:val="0089314C"/>
    <w:rsid w:val="0089348F"/>
    <w:rsid w:val="00894D47"/>
    <w:rsid w:val="00895166"/>
    <w:rsid w:val="0089548C"/>
    <w:rsid w:val="00895995"/>
    <w:rsid w:val="00895F21"/>
    <w:rsid w:val="008961E1"/>
    <w:rsid w:val="008962AA"/>
    <w:rsid w:val="00896664"/>
    <w:rsid w:val="00896828"/>
    <w:rsid w:val="008970CF"/>
    <w:rsid w:val="008975C6"/>
    <w:rsid w:val="008A0AF9"/>
    <w:rsid w:val="008A1007"/>
    <w:rsid w:val="008A103B"/>
    <w:rsid w:val="008A11D0"/>
    <w:rsid w:val="008A14B0"/>
    <w:rsid w:val="008A16DE"/>
    <w:rsid w:val="008A22A7"/>
    <w:rsid w:val="008A310E"/>
    <w:rsid w:val="008A3204"/>
    <w:rsid w:val="008A34C5"/>
    <w:rsid w:val="008A39B4"/>
    <w:rsid w:val="008A3A4B"/>
    <w:rsid w:val="008A48C5"/>
    <w:rsid w:val="008A5166"/>
    <w:rsid w:val="008A5535"/>
    <w:rsid w:val="008A6630"/>
    <w:rsid w:val="008A66D3"/>
    <w:rsid w:val="008A7035"/>
    <w:rsid w:val="008A7A17"/>
    <w:rsid w:val="008A7A1A"/>
    <w:rsid w:val="008A7BEB"/>
    <w:rsid w:val="008A7DF7"/>
    <w:rsid w:val="008B0253"/>
    <w:rsid w:val="008B0777"/>
    <w:rsid w:val="008B0846"/>
    <w:rsid w:val="008B2CAC"/>
    <w:rsid w:val="008B388D"/>
    <w:rsid w:val="008B3931"/>
    <w:rsid w:val="008B3B57"/>
    <w:rsid w:val="008B4326"/>
    <w:rsid w:val="008B4B61"/>
    <w:rsid w:val="008B5186"/>
    <w:rsid w:val="008B57C3"/>
    <w:rsid w:val="008B5C68"/>
    <w:rsid w:val="008B681D"/>
    <w:rsid w:val="008B683F"/>
    <w:rsid w:val="008B6F92"/>
    <w:rsid w:val="008B7F63"/>
    <w:rsid w:val="008C0D3C"/>
    <w:rsid w:val="008C0F67"/>
    <w:rsid w:val="008C1E18"/>
    <w:rsid w:val="008C2171"/>
    <w:rsid w:val="008C2590"/>
    <w:rsid w:val="008C2EDC"/>
    <w:rsid w:val="008C39F9"/>
    <w:rsid w:val="008C40CE"/>
    <w:rsid w:val="008C5C04"/>
    <w:rsid w:val="008C6272"/>
    <w:rsid w:val="008C682F"/>
    <w:rsid w:val="008C6A00"/>
    <w:rsid w:val="008C7A1E"/>
    <w:rsid w:val="008C7E1D"/>
    <w:rsid w:val="008D1124"/>
    <w:rsid w:val="008D115F"/>
    <w:rsid w:val="008D1878"/>
    <w:rsid w:val="008D1BE1"/>
    <w:rsid w:val="008D29A1"/>
    <w:rsid w:val="008D2F04"/>
    <w:rsid w:val="008D3BF0"/>
    <w:rsid w:val="008D43EC"/>
    <w:rsid w:val="008D4691"/>
    <w:rsid w:val="008D486A"/>
    <w:rsid w:val="008D4943"/>
    <w:rsid w:val="008D504F"/>
    <w:rsid w:val="008D552A"/>
    <w:rsid w:val="008D66D4"/>
    <w:rsid w:val="008D6B9D"/>
    <w:rsid w:val="008D6C25"/>
    <w:rsid w:val="008D72C6"/>
    <w:rsid w:val="008E0367"/>
    <w:rsid w:val="008E077C"/>
    <w:rsid w:val="008E0903"/>
    <w:rsid w:val="008E188B"/>
    <w:rsid w:val="008E1C7C"/>
    <w:rsid w:val="008E2F54"/>
    <w:rsid w:val="008E3AB5"/>
    <w:rsid w:val="008E428B"/>
    <w:rsid w:val="008E4D6F"/>
    <w:rsid w:val="008E55CB"/>
    <w:rsid w:val="008E5976"/>
    <w:rsid w:val="008E62EE"/>
    <w:rsid w:val="008E6926"/>
    <w:rsid w:val="008E7012"/>
    <w:rsid w:val="008E733C"/>
    <w:rsid w:val="008E7428"/>
    <w:rsid w:val="008E78D6"/>
    <w:rsid w:val="008F04CB"/>
    <w:rsid w:val="008F1069"/>
    <w:rsid w:val="008F1A7B"/>
    <w:rsid w:val="008F1F98"/>
    <w:rsid w:val="008F2176"/>
    <w:rsid w:val="008F21A4"/>
    <w:rsid w:val="008F2DC2"/>
    <w:rsid w:val="008F3B2E"/>
    <w:rsid w:val="008F4647"/>
    <w:rsid w:val="008F56F1"/>
    <w:rsid w:val="008F65B3"/>
    <w:rsid w:val="008F6DD3"/>
    <w:rsid w:val="008F7215"/>
    <w:rsid w:val="008F76E9"/>
    <w:rsid w:val="00900031"/>
    <w:rsid w:val="00900AEF"/>
    <w:rsid w:val="009018C3"/>
    <w:rsid w:val="0090199E"/>
    <w:rsid w:val="0090238C"/>
    <w:rsid w:val="00902603"/>
    <w:rsid w:val="00902FE3"/>
    <w:rsid w:val="009035AE"/>
    <w:rsid w:val="00903831"/>
    <w:rsid w:val="00903BDF"/>
    <w:rsid w:val="00903CE8"/>
    <w:rsid w:val="00903EDF"/>
    <w:rsid w:val="00903F7C"/>
    <w:rsid w:val="00904421"/>
    <w:rsid w:val="00904426"/>
    <w:rsid w:val="00904678"/>
    <w:rsid w:val="00904B3E"/>
    <w:rsid w:val="00904D59"/>
    <w:rsid w:val="009052E3"/>
    <w:rsid w:val="009055C9"/>
    <w:rsid w:val="00905FEF"/>
    <w:rsid w:val="0090689C"/>
    <w:rsid w:val="009068D7"/>
    <w:rsid w:val="00906CFF"/>
    <w:rsid w:val="00906F34"/>
    <w:rsid w:val="009073C0"/>
    <w:rsid w:val="0091126D"/>
    <w:rsid w:val="00912142"/>
    <w:rsid w:val="0091264E"/>
    <w:rsid w:val="0091269D"/>
    <w:rsid w:val="009129A0"/>
    <w:rsid w:val="0091323B"/>
    <w:rsid w:val="00913AD9"/>
    <w:rsid w:val="00913B99"/>
    <w:rsid w:val="009145BC"/>
    <w:rsid w:val="00915F45"/>
    <w:rsid w:val="00916DB0"/>
    <w:rsid w:val="00917941"/>
    <w:rsid w:val="00917DC6"/>
    <w:rsid w:val="00917E82"/>
    <w:rsid w:val="00920E08"/>
    <w:rsid w:val="0092122B"/>
    <w:rsid w:val="00921653"/>
    <w:rsid w:val="00921929"/>
    <w:rsid w:val="00921B4D"/>
    <w:rsid w:val="00921F77"/>
    <w:rsid w:val="00921FCB"/>
    <w:rsid w:val="009225BB"/>
    <w:rsid w:val="00922901"/>
    <w:rsid w:val="00922FEB"/>
    <w:rsid w:val="0092310A"/>
    <w:rsid w:val="0092345A"/>
    <w:rsid w:val="00923838"/>
    <w:rsid w:val="00923CFE"/>
    <w:rsid w:val="00923DB1"/>
    <w:rsid w:val="00923F99"/>
    <w:rsid w:val="00924023"/>
    <w:rsid w:val="009240EC"/>
    <w:rsid w:val="009242A5"/>
    <w:rsid w:val="00924D0D"/>
    <w:rsid w:val="009254BB"/>
    <w:rsid w:val="00926934"/>
    <w:rsid w:val="00926A08"/>
    <w:rsid w:val="00926E50"/>
    <w:rsid w:val="00927356"/>
    <w:rsid w:val="009274F8"/>
    <w:rsid w:val="00927E24"/>
    <w:rsid w:val="009309DE"/>
    <w:rsid w:val="00930CE9"/>
    <w:rsid w:val="00931AA8"/>
    <w:rsid w:val="00932C24"/>
    <w:rsid w:val="0093342E"/>
    <w:rsid w:val="00934115"/>
    <w:rsid w:val="009345C4"/>
    <w:rsid w:val="00934D66"/>
    <w:rsid w:val="00935DF5"/>
    <w:rsid w:val="0093733F"/>
    <w:rsid w:val="009376C9"/>
    <w:rsid w:val="00937798"/>
    <w:rsid w:val="00937B53"/>
    <w:rsid w:val="009400C4"/>
    <w:rsid w:val="009404D7"/>
    <w:rsid w:val="0094068D"/>
    <w:rsid w:val="00940B65"/>
    <w:rsid w:val="00940E3D"/>
    <w:rsid w:val="00940F2B"/>
    <w:rsid w:val="00940F98"/>
    <w:rsid w:val="00941667"/>
    <w:rsid w:val="00941ED0"/>
    <w:rsid w:val="00942B73"/>
    <w:rsid w:val="00942C20"/>
    <w:rsid w:val="009434EF"/>
    <w:rsid w:val="009449B2"/>
    <w:rsid w:val="00944D38"/>
    <w:rsid w:val="00944D4C"/>
    <w:rsid w:val="00945378"/>
    <w:rsid w:val="00945D2E"/>
    <w:rsid w:val="00946930"/>
    <w:rsid w:val="009472A9"/>
    <w:rsid w:val="0095054E"/>
    <w:rsid w:val="00950AC0"/>
    <w:rsid w:val="00950E9F"/>
    <w:rsid w:val="0095127B"/>
    <w:rsid w:val="00951D5C"/>
    <w:rsid w:val="00953555"/>
    <w:rsid w:val="0095392D"/>
    <w:rsid w:val="00954897"/>
    <w:rsid w:val="00954F28"/>
    <w:rsid w:val="00955050"/>
    <w:rsid w:val="00955895"/>
    <w:rsid w:val="00955925"/>
    <w:rsid w:val="00955B81"/>
    <w:rsid w:val="009567A4"/>
    <w:rsid w:val="00957220"/>
    <w:rsid w:val="0095763C"/>
    <w:rsid w:val="0095794A"/>
    <w:rsid w:val="00957D0E"/>
    <w:rsid w:val="00960181"/>
    <w:rsid w:val="009608EF"/>
    <w:rsid w:val="00960FAC"/>
    <w:rsid w:val="00961957"/>
    <w:rsid w:val="00961E4C"/>
    <w:rsid w:val="00963E84"/>
    <w:rsid w:val="00964A27"/>
    <w:rsid w:val="00964F0C"/>
    <w:rsid w:val="00965268"/>
    <w:rsid w:val="009656B3"/>
    <w:rsid w:val="0096575C"/>
    <w:rsid w:val="00966C43"/>
    <w:rsid w:val="00967CA3"/>
    <w:rsid w:val="0097054E"/>
    <w:rsid w:val="00970739"/>
    <w:rsid w:val="009711D3"/>
    <w:rsid w:val="009716BC"/>
    <w:rsid w:val="009722A0"/>
    <w:rsid w:val="00972A15"/>
    <w:rsid w:val="00972FB8"/>
    <w:rsid w:val="00973680"/>
    <w:rsid w:val="00973DF6"/>
    <w:rsid w:val="00974537"/>
    <w:rsid w:val="009745C9"/>
    <w:rsid w:val="00974CB0"/>
    <w:rsid w:val="00976685"/>
    <w:rsid w:val="0097684D"/>
    <w:rsid w:val="00976DD1"/>
    <w:rsid w:val="0097745A"/>
    <w:rsid w:val="009775E4"/>
    <w:rsid w:val="0098006A"/>
    <w:rsid w:val="0098009D"/>
    <w:rsid w:val="009809C6"/>
    <w:rsid w:val="00980F45"/>
    <w:rsid w:val="009811A1"/>
    <w:rsid w:val="00981435"/>
    <w:rsid w:val="00981E67"/>
    <w:rsid w:val="0098281A"/>
    <w:rsid w:val="009830FA"/>
    <w:rsid w:val="009838E7"/>
    <w:rsid w:val="00983B71"/>
    <w:rsid w:val="009840F5"/>
    <w:rsid w:val="0098438A"/>
    <w:rsid w:val="009843E6"/>
    <w:rsid w:val="00984864"/>
    <w:rsid w:val="0098519B"/>
    <w:rsid w:val="0098604D"/>
    <w:rsid w:val="0098628F"/>
    <w:rsid w:val="0098644B"/>
    <w:rsid w:val="009864EF"/>
    <w:rsid w:val="009867EA"/>
    <w:rsid w:val="00986FBA"/>
    <w:rsid w:val="009871A8"/>
    <w:rsid w:val="00987CF9"/>
    <w:rsid w:val="00990D3F"/>
    <w:rsid w:val="00990FC0"/>
    <w:rsid w:val="009914EE"/>
    <w:rsid w:val="00991FF7"/>
    <w:rsid w:val="0099237A"/>
    <w:rsid w:val="00992ECD"/>
    <w:rsid w:val="00992FFD"/>
    <w:rsid w:val="0099383A"/>
    <w:rsid w:val="00993F02"/>
    <w:rsid w:val="0099466D"/>
    <w:rsid w:val="00995643"/>
    <w:rsid w:val="00995B8C"/>
    <w:rsid w:val="00995F46"/>
    <w:rsid w:val="009963F1"/>
    <w:rsid w:val="0099674E"/>
    <w:rsid w:val="00997010"/>
    <w:rsid w:val="009973EF"/>
    <w:rsid w:val="009A07C5"/>
    <w:rsid w:val="009A0EEB"/>
    <w:rsid w:val="009A0F7C"/>
    <w:rsid w:val="009A16F7"/>
    <w:rsid w:val="009A1B61"/>
    <w:rsid w:val="009A23FE"/>
    <w:rsid w:val="009A2E34"/>
    <w:rsid w:val="009A38BA"/>
    <w:rsid w:val="009A4053"/>
    <w:rsid w:val="009A423D"/>
    <w:rsid w:val="009A429B"/>
    <w:rsid w:val="009A48F8"/>
    <w:rsid w:val="009A49B6"/>
    <w:rsid w:val="009A60B5"/>
    <w:rsid w:val="009A6AC7"/>
    <w:rsid w:val="009A6C4A"/>
    <w:rsid w:val="009A7186"/>
    <w:rsid w:val="009A721F"/>
    <w:rsid w:val="009A72A1"/>
    <w:rsid w:val="009A72EE"/>
    <w:rsid w:val="009B0024"/>
    <w:rsid w:val="009B0DCD"/>
    <w:rsid w:val="009B0E7B"/>
    <w:rsid w:val="009B17B8"/>
    <w:rsid w:val="009B1DCD"/>
    <w:rsid w:val="009B2B1B"/>
    <w:rsid w:val="009B352A"/>
    <w:rsid w:val="009B3BC2"/>
    <w:rsid w:val="009B3EA3"/>
    <w:rsid w:val="009B4001"/>
    <w:rsid w:val="009B40C5"/>
    <w:rsid w:val="009B46F3"/>
    <w:rsid w:val="009B518B"/>
    <w:rsid w:val="009B537B"/>
    <w:rsid w:val="009B5A40"/>
    <w:rsid w:val="009B5AD3"/>
    <w:rsid w:val="009B5B4A"/>
    <w:rsid w:val="009B5BDF"/>
    <w:rsid w:val="009B61D3"/>
    <w:rsid w:val="009B6681"/>
    <w:rsid w:val="009B6EB1"/>
    <w:rsid w:val="009B758E"/>
    <w:rsid w:val="009B7D5F"/>
    <w:rsid w:val="009B7F0A"/>
    <w:rsid w:val="009C0D6A"/>
    <w:rsid w:val="009C22A3"/>
    <w:rsid w:val="009C2844"/>
    <w:rsid w:val="009C2864"/>
    <w:rsid w:val="009C443C"/>
    <w:rsid w:val="009C44AD"/>
    <w:rsid w:val="009C4D97"/>
    <w:rsid w:val="009C4ECD"/>
    <w:rsid w:val="009C54B5"/>
    <w:rsid w:val="009C5895"/>
    <w:rsid w:val="009C6C2D"/>
    <w:rsid w:val="009C7B48"/>
    <w:rsid w:val="009D036C"/>
    <w:rsid w:val="009D14E0"/>
    <w:rsid w:val="009D1644"/>
    <w:rsid w:val="009D172C"/>
    <w:rsid w:val="009D3EB1"/>
    <w:rsid w:val="009D40D0"/>
    <w:rsid w:val="009D4C0D"/>
    <w:rsid w:val="009D5CAB"/>
    <w:rsid w:val="009D60C0"/>
    <w:rsid w:val="009D6760"/>
    <w:rsid w:val="009D6A41"/>
    <w:rsid w:val="009D7A8D"/>
    <w:rsid w:val="009E1A1E"/>
    <w:rsid w:val="009E2390"/>
    <w:rsid w:val="009E2E08"/>
    <w:rsid w:val="009E3AEC"/>
    <w:rsid w:val="009E3EFB"/>
    <w:rsid w:val="009E41D6"/>
    <w:rsid w:val="009E545F"/>
    <w:rsid w:val="009E5CE6"/>
    <w:rsid w:val="009E677A"/>
    <w:rsid w:val="009E6ECD"/>
    <w:rsid w:val="009E79BE"/>
    <w:rsid w:val="009E7D57"/>
    <w:rsid w:val="009F0556"/>
    <w:rsid w:val="009F129B"/>
    <w:rsid w:val="009F12C2"/>
    <w:rsid w:val="009F13E8"/>
    <w:rsid w:val="009F1771"/>
    <w:rsid w:val="009F4E74"/>
    <w:rsid w:val="009F602C"/>
    <w:rsid w:val="009F6ECE"/>
    <w:rsid w:val="009F752F"/>
    <w:rsid w:val="009F7C65"/>
    <w:rsid w:val="00A002E3"/>
    <w:rsid w:val="00A00B64"/>
    <w:rsid w:val="00A01131"/>
    <w:rsid w:val="00A0147F"/>
    <w:rsid w:val="00A014D7"/>
    <w:rsid w:val="00A02756"/>
    <w:rsid w:val="00A02E82"/>
    <w:rsid w:val="00A0374D"/>
    <w:rsid w:val="00A03A36"/>
    <w:rsid w:val="00A04517"/>
    <w:rsid w:val="00A04633"/>
    <w:rsid w:val="00A04864"/>
    <w:rsid w:val="00A04BAB"/>
    <w:rsid w:val="00A04EB0"/>
    <w:rsid w:val="00A06B59"/>
    <w:rsid w:val="00A073D4"/>
    <w:rsid w:val="00A075E2"/>
    <w:rsid w:val="00A10212"/>
    <w:rsid w:val="00A102DE"/>
    <w:rsid w:val="00A1086A"/>
    <w:rsid w:val="00A10A33"/>
    <w:rsid w:val="00A1190A"/>
    <w:rsid w:val="00A122FF"/>
    <w:rsid w:val="00A12329"/>
    <w:rsid w:val="00A12ABF"/>
    <w:rsid w:val="00A12B60"/>
    <w:rsid w:val="00A138B1"/>
    <w:rsid w:val="00A14B0A"/>
    <w:rsid w:val="00A14CC6"/>
    <w:rsid w:val="00A1524D"/>
    <w:rsid w:val="00A16658"/>
    <w:rsid w:val="00A16708"/>
    <w:rsid w:val="00A16D84"/>
    <w:rsid w:val="00A1705A"/>
    <w:rsid w:val="00A1763A"/>
    <w:rsid w:val="00A17EA9"/>
    <w:rsid w:val="00A205F4"/>
    <w:rsid w:val="00A208F5"/>
    <w:rsid w:val="00A20E49"/>
    <w:rsid w:val="00A224CB"/>
    <w:rsid w:val="00A23A74"/>
    <w:rsid w:val="00A23C8B"/>
    <w:rsid w:val="00A23E01"/>
    <w:rsid w:val="00A2455A"/>
    <w:rsid w:val="00A25435"/>
    <w:rsid w:val="00A2563D"/>
    <w:rsid w:val="00A25816"/>
    <w:rsid w:val="00A25AB9"/>
    <w:rsid w:val="00A27C12"/>
    <w:rsid w:val="00A30429"/>
    <w:rsid w:val="00A30558"/>
    <w:rsid w:val="00A30651"/>
    <w:rsid w:val="00A308F5"/>
    <w:rsid w:val="00A30C70"/>
    <w:rsid w:val="00A30DCB"/>
    <w:rsid w:val="00A322CB"/>
    <w:rsid w:val="00A326D4"/>
    <w:rsid w:val="00A32E6D"/>
    <w:rsid w:val="00A335E4"/>
    <w:rsid w:val="00A33637"/>
    <w:rsid w:val="00A367A2"/>
    <w:rsid w:val="00A37058"/>
    <w:rsid w:val="00A3734A"/>
    <w:rsid w:val="00A378C4"/>
    <w:rsid w:val="00A378FF"/>
    <w:rsid w:val="00A403D2"/>
    <w:rsid w:val="00A40DE0"/>
    <w:rsid w:val="00A40DE6"/>
    <w:rsid w:val="00A40FC1"/>
    <w:rsid w:val="00A42184"/>
    <w:rsid w:val="00A42483"/>
    <w:rsid w:val="00A433F8"/>
    <w:rsid w:val="00A43A0F"/>
    <w:rsid w:val="00A4420C"/>
    <w:rsid w:val="00A445E3"/>
    <w:rsid w:val="00A4481D"/>
    <w:rsid w:val="00A44897"/>
    <w:rsid w:val="00A44B56"/>
    <w:rsid w:val="00A44EC7"/>
    <w:rsid w:val="00A45142"/>
    <w:rsid w:val="00A45607"/>
    <w:rsid w:val="00A45668"/>
    <w:rsid w:val="00A460A6"/>
    <w:rsid w:val="00A47021"/>
    <w:rsid w:val="00A473FB"/>
    <w:rsid w:val="00A478AD"/>
    <w:rsid w:val="00A505ED"/>
    <w:rsid w:val="00A51DA6"/>
    <w:rsid w:val="00A52B4E"/>
    <w:rsid w:val="00A52FD1"/>
    <w:rsid w:val="00A5358C"/>
    <w:rsid w:val="00A5413A"/>
    <w:rsid w:val="00A5484A"/>
    <w:rsid w:val="00A55317"/>
    <w:rsid w:val="00A5545D"/>
    <w:rsid w:val="00A55B37"/>
    <w:rsid w:val="00A5793D"/>
    <w:rsid w:val="00A60556"/>
    <w:rsid w:val="00A60618"/>
    <w:rsid w:val="00A60643"/>
    <w:rsid w:val="00A608BA"/>
    <w:rsid w:val="00A61DC1"/>
    <w:rsid w:val="00A62AA4"/>
    <w:rsid w:val="00A6356E"/>
    <w:rsid w:val="00A644F4"/>
    <w:rsid w:val="00A648A3"/>
    <w:rsid w:val="00A64EDD"/>
    <w:rsid w:val="00A64F0F"/>
    <w:rsid w:val="00A64F37"/>
    <w:rsid w:val="00A658A2"/>
    <w:rsid w:val="00A66439"/>
    <w:rsid w:val="00A666AB"/>
    <w:rsid w:val="00A66817"/>
    <w:rsid w:val="00A66CD7"/>
    <w:rsid w:val="00A673DF"/>
    <w:rsid w:val="00A67B8D"/>
    <w:rsid w:val="00A67E7A"/>
    <w:rsid w:val="00A70019"/>
    <w:rsid w:val="00A70125"/>
    <w:rsid w:val="00A71149"/>
    <w:rsid w:val="00A71549"/>
    <w:rsid w:val="00A72065"/>
    <w:rsid w:val="00A72A93"/>
    <w:rsid w:val="00A730BE"/>
    <w:rsid w:val="00A73D95"/>
    <w:rsid w:val="00A74336"/>
    <w:rsid w:val="00A7443B"/>
    <w:rsid w:val="00A74A18"/>
    <w:rsid w:val="00A752DC"/>
    <w:rsid w:val="00A75BF3"/>
    <w:rsid w:val="00A763A1"/>
    <w:rsid w:val="00A77FA2"/>
    <w:rsid w:val="00A80422"/>
    <w:rsid w:val="00A8244D"/>
    <w:rsid w:val="00A825B2"/>
    <w:rsid w:val="00A825C3"/>
    <w:rsid w:val="00A833CA"/>
    <w:rsid w:val="00A83CEB"/>
    <w:rsid w:val="00A84496"/>
    <w:rsid w:val="00A84ACD"/>
    <w:rsid w:val="00A84E9E"/>
    <w:rsid w:val="00A85683"/>
    <w:rsid w:val="00A8598D"/>
    <w:rsid w:val="00A85BCB"/>
    <w:rsid w:val="00A85DFC"/>
    <w:rsid w:val="00A86B50"/>
    <w:rsid w:val="00A904A7"/>
    <w:rsid w:val="00A90EAD"/>
    <w:rsid w:val="00A91088"/>
    <w:rsid w:val="00A91821"/>
    <w:rsid w:val="00A9185C"/>
    <w:rsid w:val="00A9214C"/>
    <w:rsid w:val="00A92262"/>
    <w:rsid w:val="00A92B2F"/>
    <w:rsid w:val="00A92C5D"/>
    <w:rsid w:val="00A930AE"/>
    <w:rsid w:val="00A937C2"/>
    <w:rsid w:val="00A94D01"/>
    <w:rsid w:val="00A953D7"/>
    <w:rsid w:val="00A95A4B"/>
    <w:rsid w:val="00A95A83"/>
    <w:rsid w:val="00A95BAD"/>
    <w:rsid w:val="00A95EF5"/>
    <w:rsid w:val="00A9702A"/>
    <w:rsid w:val="00A9796C"/>
    <w:rsid w:val="00AA0E90"/>
    <w:rsid w:val="00AA0ECD"/>
    <w:rsid w:val="00AA1775"/>
    <w:rsid w:val="00AA1ACB"/>
    <w:rsid w:val="00AA26C1"/>
    <w:rsid w:val="00AA28F3"/>
    <w:rsid w:val="00AA3078"/>
    <w:rsid w:val="00AA3AF6"/>
    <w:rsid w:val="00AA465C"/>
    <w:rsid w:val="00AA510A"/>
    <w:rsid w:val="00AA5363"/>
    <w:rsid w:val="00AA6C6A"/>
    <w:rsid w:val="00AA7581"/>
    <w:rsid w:val="00AA7AAF"/>
    <w:rsid w:val="00AA7EA5"/>
    <w:rsid w:val="00AA7EE1"/>
    <w:rsid w:val="00AB01BE"/>
    <w:rsid w:val="00AB0E1B"/>
    <w:rsid w:val="00AB0F05"/>
    <w:rsid w:val="00AB1CE9"/>
    <w:rsid w:val="00AB1F57"/>
    <w:rsid w:val="00AB26A9"/>
    <w:rsid w:val="00AB27DE"/>
    <w:rsid w:val="00AB29CD"/>
    <w:rsid w:val="00AB34D1"/>
    <w:rsid w:val="00AB407A"/>
    <w:rsid w:val="00AB40DE"/>
    <w:rsid w:val="00AB50EF"/>
    <w:rsid w:val="00AB5363"/>
    <w:rsid w:val="00AB5BEA"/>
    <w:rsid w:val="00AB6775"/>
    <w:rsid w:val="00AB68F0"/>
    <w:rsid w:val="00AB7AFD"/>
    <w:rsid w:val="00AC04BD"/>
    <w:rsid w:val="00AC1228"/>
    <w:rsid w:val="00AC17C9"/>
    <w:rsid w:val="00AC1C9B"/>
    <w:rsid w:val="00AC1E72"/>
    <w:rsid w:val="00AC1E83"/>
    <w:rsid w:val="00AC236E"/>
    <w:rsid w:val="00AC28B1"/>
    <w:rsid w:val="00AC2B98"/>
    <w:rsid w:val="00AC2E38"/>
    <w:rsid w:val="00AC319D"/>
    <w:rsid w:val="00AC34DC"/>
    <w:rsid w:val="00AC4286"/>
    <w:rsid w:val="00AC4301"/>
    <w:rsid w:val="00AC5549"/>
    <w:rsid w:val="00AC584E"/>
    <w:rsid w:val="00AC6AB6"/>
    <w:rsid w:val="00AC73EA"/>
    <w:rsid w:val="00AC7E99"/>
    <w:rsid w:val="00AC7F69"/>
    <w:rsid w:val="00AD01F8"/>
    <w:rsid w:val="00AD0453"/>
    <w:rsid w:val="00AD1B7E"/>
    <w:rsid w:val="00AD3205"/>
    <w:rsid w:val="00AD325C"/>
    <w:rsid w:val="00AD5D4E"/>
    <w:rsid w:val="00AD658B"/>
    <w:rsid w:val="00AD6693"/>
    <w:rsid w:val="00AD68D6"/>
    <w:rsid w:val="00AD717B"/>
    <w:rsid w:val="00AD7254"/>
    <w:rsid w:val="00AD7B52"/>
    <w:rsid w:val="00AE00DB"/>
    <w:rsid w:val="00AE112E"/>
    <w:rsid w:val="00AE1BCE"/>
    <w:rsid w:val="00AE2618"/>
    <w:rsid w:val="00AE2749"/>
    <w:rsid w:val="00AE27F6"/>
    <w:rsid w:val="00AE2F54"/>
    <w:rsid w:val="00AE3439"/>
    <w:rsid w:val="00AE3C90"/>
    <w:rsid w:val="00AE3CB9"/>
    <w:rsid w:val="00AE4191"/>
    <w:rsid w:val="00AE4441"/>
    <w:rsid w:val="00AE449F"/>
    <w:rsid w:val="00AE49A4"/>
    <w:rsid w:val="00AE49FA"/>
    <w:rsid w:val="00AE54AD"/>
    <w:rsid w:val="00AE5A78"/>
    <w:rsid w:val="00AE62FF"/>
    <w:rsid w:val="00AE649B"/>
    <w:rsid w:val="00AE750E"/>
    <w:rsid w:val="00AF1AED"/>
    <w:rsid w:val="00AF1AFE"/>
    <w:rsid w:val="00AF20DF"/>
    <w:rsid w:val="00AF4475"/>
    <w:rsid w:val="00AF47E0"/>
    <w:rsid w:val="00AF4CB4"/>
    <w:rsid w:val="00AF4D59"/>
    <w:rsid w:val="00AF5F5F"/>
    <w:rsid w:val="00AF60A4"/>
    <w:rsid w:val="00AF65DA"/>
    <w:rsid w:val="00AF660A"/>
    <w:rsid w:val="00AF784B"/>
    <w:rsid w:val="00AF7F56"/>
    <w:rsid w:val="00B0043D"/>
    <w:rsid w:val="00B0141B"/>
    <w:rsid w:val="00B01583"/>
    <w:rsid w:val="00B0188F"/>
    <w:rsid w:val="00B01C13"/>
    <w:rsid w:val="00B02397"/>
    <w:rsid w:val="00B024EB"/>
    <w:rsid w:val="00B03546"/>
    <w:rsid w:val="00B04A66"/>
    <w:rsid w:val="00B04E14"/>
    <w:rsid w:val="00B04FE3"/>
    <w:rsid w:val="00B056D6"/>
    <w:rsid w:val="00B057A5"/>
    <w:rsid w:val="00B05C12"/>
    <w:rsid w:val="00B06DB6"/>
    <w:rsid w:val="00B1013E"/>
    <w:rsid w:val="00B10782"/>
    <w:rsid w:val="00B10CE2"/>
    <w:rsid w:val="00B10E32"/>
    <w:rsid w:val="00B1112A"/>
    <w:rsid w:val="00B112C4"/>
    <w:rsid w:val="00B11DD3"/>
    <w:rsid w:val="00B11FF6"/>
    <w:rsid w:val="00B12042"/>
    <w:rsid w:val="00B12969"/>
    <w:rsid w:val="00B12CA4"/>
    <w:rsid w:val="00B12E53"/>
    <w:rsid w:val="00B13068"/>
    <w:rsid w:val="00B13319"/>
    <w:rsid w:val="00B1382E"/>
    <w:rsid w:val="00B14354"/>
    <w:rsid w:val="00B14A39"/>
    <w:rsid w:val="00B15C94"/>
    <w:rsid w:val="00B15E88"/>
    <w:rsid w:val="00B165E7"/>
    <w:rsid w:val="00B17096"/>
    <w:rsid w:val="00B1755C"/>
    <w:rsid w:val="00B20094"/>
    <w:rsid w:val="00B2049A"/>
    <w:rsid w:val="00B20511"/>
    <w:rsid w:val="00B20565"/>
    <w:rsid w:val="00B2083F"/>
    <w:rsid w:val="00B208AC"/>
    <w:rsid w:val="00B20D27"/>
    <w:rsid w:val="00B22547"/>
    <w:rsid w:val="00B22AA0"/>
    <w:rsid w:val="00B23155"/>
    <w:rsid w:val="00B235C4"/>
    <w:rsid w:val="00B23B77"/>
    <w:rsid w:val="00B23FE3"/>
    <w:rsid w:val="00B2452D"/>
    <w:rsid w:val="00B2470E"/>
    <w:rsid w:val="00B24857"/>
    <w:rsid w:val="00B2584A"/>
    <w:rsid w:val="00B258EA"/>
    <w:rsid w:val="00B25FEA"/>
    <w:rsid w:val="00B26165"/>
    <w:rsid w:val="00B26B38"/>
    <w:rsid w:val="00B2756E"/>
    <w:rsid w:val="00B2785C"/>
    <w:rsid w:val="00B30A00"/>
    <w:rsid w:val="00B31116"/>
    <w:rsid w:val="00B312BA"/>
    <w:rsid w:val="00B3285C"/>
    <w:rsid w:val="00B32F8D"/>
    <w:rsid w:val="00B340FF"/>
    <w:rsid w:val="00B343CE"/>
    <w:rsid w:val="00B34E92"/>
    <w:rsid w:val="00B35435"/>
    <w:rsid w:val="00B355E2"/>
    <w:rsid w:val="00B3728F"/>
    <w:rsid w:val="00B4233F"/>
    <w:rsid w:val="00B42EC1"/>
    <w:rsid w:val="00B42FDD"/>
    <w:rsid w:val="00B4361A"/>
    <w:rsid w:val="00B439EA"/>
    <w:rsid w:val="00B43FED"/>
    <w:rsid w:val="00B45672"/>
    <w:rsid w:val="00B47222"/>
    <w:rsid w:val="00B479D6"/>
    <w:rsid w:val="00B47F32"/>
    <w:rsid w:val="00B50BA3"/>
    <w:rsid w:val="00B51FD5"/>
    <w:rsid w:val="00B532CC"/>
    <w:rsid w:val="00B535AD"/>
    <w:rsid w:val="00B53941"/>
    <w:rsid w:val="00B54B1F"/>
    <w:rsid w:val="00B55FA9"/>
    <w:rsid w:val="00B56F00"/>
    <w:rsid w:val="00B56F51"/>
    <w:rsid w:val="00B576F4"/>
    <w:rsid w:val="00B57A84"/>
    <w:rsid w:val="00B57B68"/>
    <w:rsid w:val="00B57F19"/>
    <w:rsid w:val="00B57FA0"/>
    <w:rsid w:val="00B60366"/>
    <w:rsid w:val="00B6083E"/>
    <w:rsid w:val="00B609F1"/>
    <w:rsid w:val="00B60A5E"/>
    <w:rsid w:val="00B60D23"/>
    <w:rsid w:val="00B6125C"/>
    <w:rsid w:val="00B61691"/>
    <w:rsid w:val="00B61CC4"/>
    <w:rsid w:val="00B61D1C"/>
    <w:rsid w:val="00B61E3E"/>
    <w:rsid w:val="00B61FCC"/>
    <w:rsid w:val="00B6294D"/>
    <w:rsid w:val="00B62C56"/>
    <w:rsid w:val="00B63C4B"/>
    <w:rsid w:val="00B63CED"/>
    <w:rsid w:val="00B640EB"/>
    <w:rsid w:val="00B64287"/>
    <w:rsid w:val="00B64AAE"/>
    <w:rsid w:val="00B65E49"/>
    <w:rsid w:val="00B65F09"/>
    <w:rsid w:val="00B6603B"/>
    <w:rsid w:val="00B66382"/>
    <w:rsid w:val="00B665DA"/>
    <w:rsid w:val="00B66DFF"/>
    <w:rsid w:val="00B71306"/>
    <w:rsid w:val="00B718A2"/>
    <w:rsid w:val="00B7263C"/>
    <w:rsid w:val="00B72A78"/>
    <w:rsid w:val="00B732D1"/>
    <w:rsid w:val="00B73B1F"/>
    <w:rsid w:val="00B7473F"/>
    <w:rsid w:val="00B74D6E"/>
    <w:rsid w:val="00B757F0"/>
    <w:rsid w:val="00B75EAA"/>
    <w:rsid w:val="00B77894"/>
    <w:rsid w:val="00B77DAD"/>
    <w:rsid w:val="00B80095"/>
    <w:rsid w:val="00B8084C"/>
    <w:rsid w:val="00B817C5"/>
    <w:rsid w:val="00B829FB"/>
    <w:rsid w:val="00B8355C"/>
    <w:rsid w:val="00B84610"/>
    <w:rsid w:val="00B8620F"/>
    <w:rsid w:val="00B86743"/>
    <w:rsid w:val="00B870AC"/>
    <w:rsid w:val="00B871EC"/>
    <w:rsid w:val="00B90292"/>
    <w:rsid w:val="00B9062B"/>
    <w:rsid w:val="00B915D6"/>
    <w:rsid w:val="00B91885"/>
    <w:rsid w:val="00B91890"/>
    <w:rsid w:val="00B91B51"/>
    <w:rsid w:val="00B92A3B"/>
    <w:rsid w:val="00B92F8D"/>
    <w:rsid w:val="00B930CE"/>
    <w:rsid w:val="00B94362"/>
    <w:rsid w:val="00B94661"/>
    <w:rsid w:val="00B94D60"/>
    <w:rsid w:val="00B951A7"/>
    <w:rsid w:val="00B95E13"/>
    <w:rsid w:val="00B95E33"/>
    <w:rsid w:val="00B962EC"/>
    <w:rsid w:val="00B96350"/>
    <w:rsid w:val="00B97047"/>
    <w:rsid w:val="00B9772F"/>
    <w:rsid w:val="00B979AD"/>
    <w:rsid w:val="00BA02B0"/>
    <w:rsid w:val="00BA0A5A"/>
    <w:rsid w:val="00BA100A"/>
    <w:rsid w:val="00BA15E7"/>
    <w:rsid w:val="00BA16FE"/>
    <w:rsid w:val="00BA23CC"/>
    <w:rsid w:val="00BA2448"/>
    <w:rsid w:val="00BA2DEE"/>
    <w:rsid w:val="00BA4355"/>
    <w:rsid w:val="00BA4662"/>
    <w:rsid w:val="00BA47C5"/>
    <w:rsid w:val="00BA54AD"/>
    <w:rsid w:val="00BA56E7"/>
    <w:rsid w:val="00BA5708"/>
    <w:rsid w:val="00BA5D3E"/>
    <w:rsid w:val="00BA5F26"/>
    <w:rsid w:val="00BA70E3"/>
    <w:rsid w:val="00BA737E"/>
    <w:rsid w:val="00BA75F8"/>
    <w:rsid w:val="00BA7629"/>
    <w:rsid w:val="00BA7BEF"/>
    <w:rsid w:val="00BB0310"/>
    <w:rsid w:val="00BB1A44"/>
    <w:rsid w:val="00BB1EC6"/>
    <w:rsid w:val="00BB3960"/>
    <w:rsid w:val="00BB4897"/>
    <w:rsid w:val="00BB4C36"/>
    <w:rsid w:val="00BB52DB"/>
    <w:rsid w:val="00BB56DE"/>
    <w:rsid w:val="00BB5DD2"/>
    <w:rsid w:val="00BB5E47"/>
    <w:rsid w:val="00BB657B"/>
    <w:rsid w:val="00BB6AA9"/>
    <w:rsid w:val="00BB73C8"/>
    <w:rsid w:val="00BB761A"/>
    <w:rsid w:val="00BC0E53"/>
    <w:rsid w:val="00BC0F61"/>
    <w:rsid w:val="00BC2BF6"/>
    <w:rsid w:val="00BC2EC6"/>
    <w:rsid w:val="00BC30ED"/>
    <w:rsid w:val="00BC3B1C"/>
    <w:rsid w:val="00BC4051"/>
    <w:rsid w:val="00BC42D3"/>
    <w:rsid w:val="00BC4489"/>
    <w:rsid w:val="00BC4BA1"/>
    <w:rsid w:val="00BC5515"/>
    <w:rsid w:val="00BC5906"/>
    <w:rsid w:val="00BC6430"/>
    <w:rsid w:val="00BC6EC4"/>
    <w:rsid w:val="00BC75A7"/>
    <w:rsid w:val="00BC7780"/>
    <w:rsid w:val="00BC7F94"/>
    <w:rsid w:val="00BD0F3C"/>
    <w:rsid w:val="00BD10BB"/>
    <w:rsid w:val="00BD1A93"/>
    <w:rsid w:val="00BD1C53"/>
    <w:rsid w:val="00BD20CD"/>
    <w:rsid w:val="00BD4689"/>
    <w:rsid w:val="00BD54F3"/>
    <w:rsid w:val="00BD5B82"/>
    <w:rsid w:val="00BD5B83"/>
    <w:rsid w:val="00BD6258"/>
    <w:rsid w:val="00BD6598"/>
    <w:rsid w:val="00BD6866"/>
    <w:rsid w:val="00BD6BA6"/>
    <w:rsid w:val="00BD6DE7"/>
    <w:rsid w:val="00BD72F0"/>
    <w:rsid w:val="00BD7994"/>
    <w:rsid w:val="00BD79B6"/>
    <w:rsid w:val="00BD7FF9"/>
    <w:rsid w:val="00BE06C2"/>
    <w:rsid w:val="00BE06D1"/>
    <w:rsid w:val="00BE134B"/>
    <w:rsid w:val="00BE16AD"/>
    <w:rsid w:val="00BE1824"/>
    <w:rsid w:val="00BE237F"/>
    <w:rsid w:val="00BE25A5"/>
    <w:rsid w:val="00BE326C"/>
    <w:rsid w:val="00BE3937"/>
    <w:rsid w:val="00BE49DE"/>
    <w:rsid w:val="00BE519D"/>
    <w:rsid w:val="00BE5C73"/>
    <w:rsid w:val="00BE601E"/>
    <w:rsid w:val="00BE611A"/>
    <w:rsid w:val="00BE6172"/>
    <w:rsid w:val="00BE6176"/>
    <w:rsid w:val="00BE65C9"/>
    <w:rsid w:val="00BE65F9"/>
    <w:rsid w:val="00BE67E3"/>
    <w:rsid w:val="00BE6942"/>
    <w:rsid w:val="00BE6CD8"/>
    <w:rsid w:val="00BF000A"/>
    <w:rsid w:val="00BF05FC"/>
    <w:rsid w:val="00BF0E81"/>
    <w:rsid w:val="00BF0EDB"/>
    <w:rsid w:val="00BF13DF"/>
    <w:rsid w:val="00BF1D10"/>
    <w:rsid w:val="00BF4243"/>
    <w:rsid w:val="00BF4431"/>
    <w:rsid w:val="00BF50E7"/>
    <w:rsid w:val="00BF5B23"/>
    <w:rsid w:val="00BF5E30"/>
    <w:rsid w:val="00BF680A"/>
    <w:rsid w:val="00BF7923"/>
    <w:rsid w:val="00C00570"/>
    <w:rsid w:val="00C00862"/>
    <w:rsid w:val="00C02DB0"/>
    <w:rsid w:val="00C03272"/>
    <w:rsid w:val="00C038F5"/>
    <w:rsid w:val="00C03C56"/>
    <w:rsid w:val="00C042AE"/>
    <w:rsid w:val="00C043A5"/>
    <w:rsid w:val="00C04424"/>
    <w:rsid w:val="00C04940"/>
    <w:rsid w:val="00C04FE2"/>
    <w:rsid w:val="00C0644A"/>
    <w:rsid w:val="00C066DD"/>
    <w:rsid w:val="00C06761"/>
    <w:rsid w:val="00C06BA5"/>
    <w:rsid w:val="00C06C49"/>
    <w:rsid w:val="00C06C96"/>
    <w:rsid w:val="00C07848"/>
    <w:rsid w:val="00C1307F"/>
    <w:rsid w:val="00C1363A"/>
    <w:rsid w:val="00C13BDF"/>
    <w:rsid w:val="00C14FF7"/>
    <w:rsid w:val="00C15062"/>
    <w:rsid w:val="00C158D5"/>
    <w:rsid w:val="00C15CA3"/>
    <w:rsid w:val="00C16994"/>
    <w:rsid w:val="00C16FC6"/>
    <w:rsid w:val="00C17450"/>
    <w:rsid w:val="00C17C2D"/>
    <w:rsid w:val="00C17D7A"/>
    <w:rsid w:val="00C204B8"/>
    <w:rsid w:val="00C20AFC"/>
    <w:rsid w:val="00C20C9F"/>
    <w:rsid w:val="00C20E48"/>
    <w:rsid w:val="00C21EFE"/>
    <w:rsid w:val="00C21FCF"/>
    <w:rsid w:val="00C229D0"/>
    <w:rsid w:val="00C229F5"/>
    <w:rsid w:val="00C22B27"/>
    <w:rsid w:val="00C23963"/>
    <w:rsid w:val="00C245BE"/>
    <w:rsid w:val="00C24694"/>
    <w:rsid w:val="00C24DA6"/>
    <w:rsid w:val="00C25182"/>
    <w:rsid w:val="00C2643E"/>
    <w:rsid w:val="00C27646"/>
    <w:rsid w:val="00C30587"/>
    <w:rsid w:val="00C3197B"/>
    <w:rsid w:val="00C31A88"/>
    <w:rsid w:val="00C31DD1"/>
    <w:rsid w:val="00C32009"/>
    <w:rsid w:val="00C325E3"/>
    <w:rsid w:val="00C326FC"/>
    <w:rsid w:val="00C32A1D"/>
    <w:rsid w:val="00C334AA"/>
    <w:rsid w:val="00C33906"/>
    <w:rsid w:val="00C34681"/>
    <w:rsid w:val="00C34B89"/>
    <w:rsid w:val="00C352E9"/>
    <w:rsid w:val="00C36160"/>
    <w:rsid w:val="00C36851"/>
    <w:rsid w:val="00C36F0A"/>
    <w:rsid w:val="00C36F85"/>
    <w:rsid w:val="00C3773A"/>
    <w:rsid w:val="00C37B2B"/>
    <w:rsid w:val="00C40243"/>
    <w:rsid w:val="00C4098A"/>
    <w:rsid w:val="00C40FC5"/>
    <w:rsid w:val="00C4145F"/>
    <w:rsid w:val="00C4148A"/>
    <w:rsid w:val="00C421CB"/>
    <w:rsid w:val="00C43361"/>
    <w:rsid w:val="00C435EF"/>
    <w:rsid w:val="00C4391F"/>
    <w:rsid w:val="00C44C23"/>
    <w:rsid w:val="00C4585F"/>
    <w:rsid w:val="00C459DF"/>
    <w:rsid w:val="00C46847"/>
    <w:rsid w:val="00C47161"/>
    <w:rsid w:val="00C474F4"/>
    <w:rsid w:val="00C4789B"/>
    <w:rsid w:val="00C50067"/>
    <w:rsid w:val="00C50270"/>
    <w:rsid w:val="00C502FC"/>
    <w:rsid w:val="00C50844"/>
    <w:rsid w:val="00C50B60"/>
    <w:rsid w:val="00C50E89"/>
    <w:rsid w:val="00C50F90"/>
    <w:rsid w:val="00C51239"/>
    <w:rsid w:val="00C535B0"/>
    <w:rsid w:val="00C53A4D"/>
    <w:rsid w:val="00C53CC4"/>
    <w:rsid w:val="00C53EB7"/>
    <w:rsid w:val="00C549DF"/>
    <w:rsid w:val="00C54B32"/>
    <w:rsid w:val="00C54E60"/>
    <w:rsid w:val="00C54F76"/>
    <w:rsid w:val="00C555B1"/>
    <w:rsid w:val="00C57785"/>
    <w:rsid w:val="00C57821"/>
    <w:rsid w:val="00C57BD8"/>
    <w:rsid w:val="00C60201"/>
    <w:rsid w:val="00C60C29"/>
    <w:rsid w:val="00C614C6"/>
    <w:rsid w:val="00C61767"/>
    <w:rsid w:val="00C61B80"/>
    <w:rsid w:val="00C62972"/>
    <w:rsid w:val="00C6316C"/>
    <w:rsid w:val="00C635EC"/>
    <w:rsid w:val="00C649B7"/>
    <w:rsid w:val="00C64B90"/>
    <w:rsid w:val="00C64D72"/>
    <w:rsid w:val="00C64EBA"/>
    <w:rsid w:val="00C64F4A"/>
    <w:rsid w:val="00C6529B"/>
    <w:rsid w:val="00C65604"/>
    <w:rsid w:val="00C65C1C"/>
    <w:rsid w:val="00C65F50"/>
    <w:rsid w:val="00C66167"/>
    <w:rsid w:val="00C66761"/>
    <w:rsid w:val="00C673C6"/>
    <w:rsid w:val="00C678EB"/>
    <w:rsid w:val="00C67F8C"/>
    <w:rsid w:val="00C70539"/>
    <w:rsid w:val="00C718F0"/>
    <w:rsid w:val="00C73368"/>
    <w:rsid w:val="00C74210"/>
    <w:rsid w:val="00C743ED"/>
    <w:rsid w:val="00C7489F"/>
    <w:rsid w:val="00C749EA"/>
    <w:rsid w:val="00C74DDA"/>
    <w:rsid w:val="00C75185"/>
    <w:rsid w:val="00C7588D"/>
    <w:rsid w:val="00C75A75"/>
    <w:rsid w:val="00C76333"/>
    <w:rsid w:val="00C768A4"/>
    <w:rsid w:val="00C77795"/>
    <w:rsid w:val="00C8086D"/>
    <w:rsid w:val="00C8120F"/>
    <w:rsid w:val="00C8289B"/>
    <w:rsid w:val="00C831AA"/>
    <w:rsid w:val="00C83593"/>
    <w:rsid w:val="00C839ED"/>
    <w:rsid w:val="00C8488C"/>
    <w:rsid w:val="00C849B2"/>
    <w:rsid w:val="00C8612C"/>
    <w:rsid w:val="00C864A5"/>
    <w:rsid w:val="00C86AE1"/>
    <w:rsid w:val="00C87047"/>
    <w:rsid w:val="00C87BA2"/>
    <w:rsid w:val="00C87D83"/>
    <w:rsid w:val="00C92431"/>
    <w:rsid w:val="00C9271D"/>
    <w:rsid w:val="00C92C91"/>
    <w:rsid w:val="00C93757"/>
    <w:rsid w:val="00C939BC"/>
    <w:rsid w:val="00C93A82"/>
    <w:rsid w:val="00C940B2"/>
    <w:rsid w:val="00C95281"/>
    <w:rsid w:val="00C959E9"/>
    <w:rsid w:val="00C9670C"/>
    <w:rsid w:val="00C97B4B"/>
    <w:rsid w:val="00C97F0E"/>
    <w:rsid w:val="00CA0E24"/>
    <w:rsid w:val="00CA0FCE"/>
    <w:rsid w:val="00CA1666"/>
    <w:rsid w:val="00CA1821"/>
    <w:rsid w:val="00CA1E6A"/>
    <w:rsid w:val="00CA216D"/>
    <w:rsid w:val="00CA245C"/>
    <w:rsid w:val="00CA26F4"/>
    <w:rsid w:val="00CA287F"/>
    <w:rsid w:val="00CA2A52"/>
    <w:rsid w:val="00CA37FD"/>
    <w:rsid w:val="00CA47F2"/>
    <w:rsid w:val="00CA57ED"/>
    <w:rsid w:val="00CA604F"/>
    <w:rsid w:val="00CA631F"/>
    <w:rsid w:val="00CA6FED"/>
    <w:rsid w:val="00CB01A7"/>
    <w:rsid w:val="00CB0596"/>
    <w:rsid w:val="00CB1066"/>
    <w:rsid w:val="00CB1B28"/>
    <w:rsid w:val="00CB1E07"/>
    <w:rsid w:val="00CB1EB5"/>
    <w:rsid w:val="00CB2539"/>
    <w:rsid w:val="00CB25CF"/>
    <w:rsid w:val="00CB29EB"/>
    <w:rsid w:val="00CB3149"/>
    <w:rsid w:val="00CB34F7"/>
    <w:rsid w:val="00CB4D50"/>
    <w:rsid w:val="00CB4FB5"/>
    <w:rsid w:val="00CB53D1"/>
    <w:rsid w:val="00CB55FC"/>
    <w:rsid w:val="00CB5955"/>
    <w:rsid w:val="00CB63A1"/>
    <w:rsid w:val="00CB6428"/>
    <w:rsid w:val="00CC0798"/>
    <w:rsid w:val="00CC1A80"/>
    <w:rsid w:val="00CC1CE1"/>
    <w:rsid w:val="00CC2D3C"/>
    <w:rsid w:val="00CC2E9E"/>
    <w:rsid w:val="00CC2FBD"/>
    <w:rsid w:val="00CC3AE7"/>
    <w:rsid w:val="00CC3C92"/>
    <w:rsid w:val="00CC488A"/>
    <w:rsid w:val="00CC671F"/>
    <w:rsid w:val="00CC6756"/>
    <w:rsid w:val="00CC7556"/>
    <w:rsid w:val="00CD0E17"/>
    <w:rsid w:val="00CD107E"/>
    <w:rsid w:val="00CD1678"/>
    <w:rsid w:val="00CD1C1F"/>
    <w:rsid w:val="00CD2C29"/>
    <w:rsid w:val="00CD3126"/>
    <w:rsid w:val="00CD34CC"/>
    <w:rsid w:val="00CD363C"/>
    <w:rsid w:val="00CD392D"/>
    <w:rsid w:val="00CD3CDE"/>
    <w:rsid w:val="00CD3D56"/>
    <w:rsid w:val="00CD45BE"/>
    <w:rsid w:val="00CD4C0F"/>
    <w:rsid w:val="00CD4C18"/>
    <w:rsid w:val="00CD4D39"/>
    <w:rsid w:val="00CD587E"/>
    <w:rsid w:val="00CD6151"/>
    <w:rsid w:val="00CD6B74"/>
    <w:rsid w:val="00CE0062"/>
    <w:rsid w:val="00CE0C9A"/>
    <w:rsid w:val="00CE1E32"/>
    <w:rsid w:val="00CE23E1"/>
    <w:rsid w:val="00CE3258"/>
    <w:rsid w:val="00CE3319"/>
    <w:rsid w:val="00CE3B62"/>
    <w:rsid w:val="00CE3D64"/>
    <w:rsid w:val="00CE4B3F"/>
    <w:rsid w:val="00CE589D"/>
    <w:rsid w:val="00CE5B10"/>
    <w:rsid w:val="00CE5F29"/>
    <w:rsid w:val="00CE6101"/>
    <w:rsid w:val="00CE6815"/>
    <w:rsid w:val="00CE72BF"/>
    <w:rsid w:val="00CE78DC"/>
    <w:rsid w:val="00CE79D8"/>
    <w:rsid w:val="00CE7D40"/>
    <w:rsid w:val="00CF066B"/>
    <w:rsid w:val="00CF0AC5"/>
    <w:rsid w:val="00CF1E81"/>
    <w:rsid w:val="00CF322E"/>
    <w:rsid w:val="00CF3C92"/>
    <w:rsid w:val="00CF42E5"/>
    <w:rsid w:val="00CF45D0"/>
    <w:rsid w:val="00CF4A63"/>
    <w:rsid w:val="00CF59CC"/>
    <w:rsid w:val="00CF60C8"/>
    <w:rsid w:val="00CF66EF"/>
    <w:rsid w:val="00CF68FE"/>
    <w:rsid w:val="00CF6B4D"/>
    <w:rsid w:val="00D00933"/>
    <w:rsid w:val="00D0096C"/>
    <w:rsid w:val="00D0125C"/>
    <w:rsid w:val="00D02204"/>
    <w:rsid w:val="00D02316"/>
    <w:rsid w:val="00D02CC3"/>
    <w:rsid w:val="00D02D49"/>
    <w:rsid w:val="00D038FB"/>
    <w:rsid w:val="00D03DCE"/>
    <w:rsid w:val="00D045E5"/>
    <w:rsid w:val="00D050A2"/>
    <w:rsid w:val="00D059A8"/>
    <w:rsid w:val="00D05CA5"/>
    <w:rsid w:val="00D0774E"/>
    <w:rsid w:val="00D1025B"/>
    <w:rsid w:val="00D10E5E"/>
    <w:rsid w:val="00D11400"/>
    <w:rsid w:val="00D11558"/>
    <w:rsid w:val="00D116E5"/>
    <w:rsid w:val="00D12F1D"/>
    <w:rsid w:val="00D134AB"/>
    <w:rsid w:val="00D13B22"/>
    <w:rsid w:val="00D140F4"/>
    <w:rsid w:val="00D14770"/>
    <w:rsid w:val="00D149D9"/>
    <w:rsid w:val="00D149FE"/>
    <w:rsid w:val="00D14BAB"/>
    <w:rsid w:val="00D15670"/>
    <w:rsid w:val="00D1574B"/>
    <w:rsid w:val="00D15969"/>
    <w:rsid w:val="00D15C71"/>
    <w:rsid w:val="00D167CF"/>
    <w:rsid w:val="00D173CA"/>
    <w:rsid w:val="00D21DF7"/>
    <w:rsid w:val="00D22451"/>
    <w:rsid w:val="00D22CA7"/>
    <w:rsid w:val="00D232E6"/>
    <w:rsid w:val="00D23BFA"/>
    <w:rsid w:val="00D23FAE"/>
    <w:rsid w:val="00D2435C"/>
    <w:rsid w:val="00D2456E"/>
    <w:rsid w:val="00D245DB"/>
    <w:rsid w:val="00D250C8"/>
    <w:rsid w:val="00D253A3"/>
    <w:rsid w:val="00D25C78"/>
    <w:rsid w:val="00D2605B"/>
    <w:rsid w:val="00D260B0"/>
    <w:rsid w:val="00D26138"/>
    <w:rsid w:val="00D26358"/>
    <w:rsid w:val="00D27002"/>
    <w:rsid w:val="00D2757C"/>
    <w:rsid w:val="00D2760E"/>
    <w:rsid w:val="00D27739"/>
    <w:rsid w:val="00D27A7C"/>
    <w:rsid w:val="00D27B1F"/>
    <w:rsid w:val="00D30854"/>
    <w:rsid w:val="00D31278"/>
    <w:rsid w:val="00D31E33"/>
    <w:rsid w:val="00D32AB4"/>
    <w:rsid w:val="00D3314E"/>
    <w:rsid w:val="00D33447"/>
    <w:rsid w:val="00D334B1"/>
    <w:rsid w:val="00D33D6B"/>
    <w:rsid w:val="00D34045"/>
    <w:rsid w:val="00D34AA7"/>
    <w:rsid w:val="00D34D99"/>
    <w:rsid w:val="00D3513E"/>
    <w:rsid w:val="00D35151"/>
    <w:rsid w:val="00D35201"/>
    <w:rsid w:val="00D35AA8"/>
    <w:rsid w:val="00D35AF5"/>
    <w:rsid w:val="00D36072"/>
    <w:rsid w:val="00D3686C"/>
    <w:rsid w:val="00D36E31"/>
    <w:rsid w:val="00D37356"/>
    <w:rsid w:val="00D3784D"/>
    <w:rsid w:val="00D37B4C"/>
    <w:rsid w:val="00D40C5C"/>
    <w:rsid w:val="00D40C9F"/>
    <w:rsid w:val="00D4179B"/>
    <w:rsid w:val="00D41D8D"/>
    <w:rsid w:val="00D41DEA"/>
    <w:rsid w:val="00D41E60"/>
    <w:rsid w:val="00D4227F"/>
    <w:rsid w:val="00D42B32"/>
    <w:rsid w:val="00D42F10"/>
    <w:rsid w:val="00D43698"/>
    <w:rsid w:val="00D43B40"/>
    <w:rsid w:val="00D446A8"/>
    <w:rsid w:val="00D44BBB"/>
    <w:rsid w:val="00D451D9"/>
    <w:rsid w:val="00D45C39"/>
    <w:rsid w:val="00D46931"/>
    <w:rsid w:val="00D46A11"/>
    <w:rsid w:val="00D47634"/>
    <w:rsid w:val="00D50173"/>
    <w:rsid w:val="00D501D6"/>
    <w:rsid w:val="00D50E3F"/>
    <w:rsid w:val="00D52A0C"/>
    <w:rsid w:val="00D53FB3"/>
    <w:rsid w:val="00D54983"/>
    <w:rsid w:val="00D55977"/>
    <w:rsid w:val="00D56118"/>
    <w:rsid w:val="00D56632"/>
    <w:rsid w:val="00D56ED7"/>
    <w:rsid w:val="00D5723A"/>
    <w:rsid w:val="00D579E6"/>
    <w:rsid w:val="00D60810"/>
    <w:rsid w:val="00D60C98"/>
    <w:rsid w:val="00D61877"/>
    <w:rsid w:val="00D634ED"/>
    <w:rsid w:val="00D6365A"/>
    <w:rsid w:val="00D63726"/>
    <w:rsid w:val="00D63A48"/>
    <w:rsid w:val="00D63F24"/>
    <w:rsid w:val="00D64A06"/>
    <w:rsid w:val="00D6505C"/>
    <w:rsid w:val="00D65425"/>
    <w:rsid w:val="00D6717E"/>
    <w:rsid w:val="00D67398"/>
    <w:rsid w:val="00D676C5"/>
    <w:rsid w:val="00D7136E"/>
    <w:rsid w:val="00D713BC"/>
    <w:rsid w:val="00D71A93"/>
    <w:rsid w:val="00D71E1A"/>
    <w:rsid w:val="00D723FF"/>
    <w:rsid w:val="00D72B7C"/>
    <w:rsid w:val="00D72C70"/>
    <w:rsid w:val="00D7350A"/>
    <w:rsid w:val="00D73FD9"/>
    <w:rsid w:val="00D74114"/>
    <w:rsid w:val="00D74C42"/>
    <w:rsid w:val="00D759B2"/>
    <w:rsid w:val="00D76057"/>
    <w:rsid w:val="00D765A0"/>
    <w:rsid w:val="00D7794C"/>
    <w:rsid w:val="00D77CC8"/>
    <w:rsid w:val="00D800ED"/>
    <w:rsid w:val="00D80B8D"/>
    <w:rsid w:val="00D80E0A"/>
    <w:rsid w:val="00D812FC"/>
    <w:rsid w:val="00D81507"/>
    <w:rsid w:val="00D8202A"/>
    <w:rsid w:val="00D82648"/>
    <w:rsid w:val="00D82898"/>
    <w:rsid w:val="00D82AFC"/>
    <w:rsid w:val="00D83419"/>
    <w:rsid w:val="00D844FA"/>
    <w:rsid w:val="00D85473"/>
    <w:rsid w:val="00D85A90"/>
    <w:rsid w:val="00D85E76"/>
    <w:rsid w:val="00D85EE9"/>
    <w:rsid w:val="00D85F50"/>
    <w:rsid w:val="00D8743C"/>
    <w:rsid w:val="00D874CA"/>
    <w:rsid w:val="00D8786A"/>
    <w:rsid w:val="00D87F76"/>
    <w:rsid w:val="00D90797"/>
    <w:rsid w:val="00D909D3"/>
    <w:rsid w:val="00D923CA"/>
    <w:rsid w:val="00D938C9"/>
    <w:rsid w:val="00D93D29"/>
    <w:rsid w:val="00D945B8"/>
    <w:rsid w:val="00D94B33"/>
    <w:rsid w:val="00D9571B"/>
    <w:rsid w:val="00D95B1A"/>
    <w:rsid w:val="00D95E6A"/>
    <w:rsid w:val="00D96E4D"/>
    <w:rsid w:val="00D978E5"/>
    <w:rsid w:val="00DA00A1"/>
    <w:rsid w:val="00DA01FD"/>
    <w:rsid w:val="00DA0AA3"/>
    <w:rsid w:val="00DA0DED"/>
    <w:rsid w:val="00DA1911"/>
    <w:rsid w:val="00DA1AFD"/>
    <w:rsid w:val="00DA2574"/>
    <w:rsid w:val="00DA27AB"/>
    <w:rsid w:val="00DA28FE"/>
    <w:rsid w:val="00DA2961"/>
    <w:rsid w:val="00DA3CFC"/>
    <w:rsid w:val="00DA5CAA"/>
    <w:rsid w:val="00DA5D44"/>
    <w:rsid w:val="00DA5D4E"/>
    <w:rsid w:val="00DA7008"/>
    <w:rsid w:val="00DA7DB8"/>
    <w:rsid w:val="00DA7EDE"/>
    <w:rsid w:val="00DB000C"/>
    <w:rsid w:val="00DB0024"/>
    <w:rsid w:val="00DB0234"/>
    <w:rsid w:val="00DB0C90"/>
    <w:rsid w:val="00DB0E36"/>
    <w:rsid w:val="00DB14C7"/>
    <w:rsid w:val="00DB1922"/>
    <w:rsid w:val="00DB28F2"/>
    <w:rsid w:val="00DB4A35"/>
    <w:rsid w:val="00DB520F"/>
    <w:rsid w:val="00DB57CB"/>
    <w:rsid w:val="00DB5ABB"/>
    <w:rsid w:val="00DB65FE"/>
    <w:rsid w:val="00DB67A2"/>
    <w:rsid w:val="00DB698A"/>
    <w:rsid w:val="00DB6EA5"/>
    <w:rsid w:val="00DB71E4"/>
    <w:rsid w:val="00DB7749"/>
    <w:rsid w:val="00DB7F61"/>
    <w:rsid w:val="00DC0409"/>
    <w:rsid w:val="00DC0EE7"/>
    <w:rsid w:val="00DC0F25"/>
    <w:rsid w:val="00DC1825"/>
    <w:rsid w:val="00DC1827"/>
    <w:rsid w:val="00DC1B5D"/>
    <w:rsid w:val="00DC22A7"/>
    <w:rsid w:val="00DC301E"/>
    <w:rsid w:val="00DC3057"/>
    <w:rsid w:val="00DC3597"/>
    <w:rsid w:val="00DC5A1C"/>
    <w:rsid w:val="00DC5B36"/>
    <w:rsid w:val="00DC5E54"/>
    <w:rsid w:val="00DC6DED"/>
    <w:rsid w:val="00DC7E6E"/>
    <w:rsid w:val="00DD03D5"/>
    <w:rsid w:val="00DD059D"/>
    <w:rsid w:val="00DD0820"/>
    <w:rsid w:val="00DD116B"/>
    <w:rsid w:val="00DD1402"/>
    <w:rsid w:val="00DD187C"/>
    <w:rsid w:val="00DD2816"/>
    <w:rsid w:val="00DD2826"/>
    <w:rsid w:val="00DD2C59"/>
    <w:rsid w:val="00DD2E4B"/>
    <w:rsid w:val="00DD369E"/>
    <w:rsid w:val="00DD3A8B"/>
    <w:rsid w:val="00DD3C14"/>
    <w:rsid w:val="00DD4AE9"/>
    <w:rsid w:val="00DD516C"/>
    <w:rsid w:val="00DD664C"/>
    <w:rsid w:val="00DD7365"/>
    <w:rsid w:val="00DE0D54"/>
    <w:rsid w:val="00DE25AF"/>
    <w:rsid w:val="00DE2DC3"/>
    <w:rsid w:val="00DE318C"/>
    <w:rsid w:val="00DE3529"/>
    <w:rsid w:val="00DE355F"/>
    <w:rsid w:val="00DE370B"/>
    <w:rsid w:val="00DE399D"/>
    <w:rsid w:val="00DE3D4F"/>
    <w:rsid w:val="00DE428C"/>
    <w:rsid w:val="00DE4E0F"/>
    <w:rsid w:val="00DE53DD"/>
    <w:rsid w:val="00DE59C4"/>
    <w:rsid w:val="00DE629B"/>
    <w:rsid w:val="00DE6722"/>
    <w:rsid w:val="00DE692F"/>
    <w:rsid w:val="00DE76E4"/>
    <w:rsid w:val="00DE7936"/>
    <w:rsid w:val="00DE7A90"/>
    <w:rsid w:val="00DF0794"/>
    <w:rsid w:val="00DF096D"/>
    <w:rsid w:val="00DF0CD3"/>
    <w:rsid w:val="00DF0E09"/>
    <w:rsid w:val="00DF2096"/>
    <w:rsid w:val="00DF2765"/>
    <w:rsid w:val="00DF28AF"/>
    <w:rsid w:val="00DF2988"/>
    <w:rsid w:val="00DF2AFE"/>
    <w:rsid w:val="00DF4746"/>
    <w:rsid w:val="00DF4ABC"/>
    <w:rsid w:val="00DF4AD1"/>
    <w:rsid w:val="00DF4BEE"/>
    <w:rsid w:val="00DF4DB2"/>
    <w:rsid w:val="00DF4E75"/>
    <w:rsid w:val="00DF4E83"/>
    <w:rsid w:val="00DF5172"/>
    <w:rsid w:val="00DF5C25"/>
    <w:rsid w:val="00DF7448"/>
    <w:rsid w:val="00E0000A"/>
    <w:rsid w:val="00E000A6"/>
    <w:rsid w:val="00E0105B"/>
    <w:rsid w:val="00E015D0"/>
    <w:rsid w:val="00E01A98"/>
    <w:rsid w:val="00E01CBC"/>
    <w:rsid w:val="00E01FA3"/>
    <w:rsid w:val="00E02CCE"/>
    <w:rsid w:val="00E03AEE"/>
    <w:rsid w:val="00E043CD"/>
    <w:rsid w:val="00E04A3C"/>
    <w:rsid w:val="00E053B6"/>
    <w:rsid w:val="00E0643C"/>
    <w:rsid w:val="00E102E8"/>
    <w:rsid w:val="00E10900"/>
    <w:rsid w:val="00E11C21"/>
    <w:rsid w:val="00E12117"/>
    <w:rsid w:val="00E1231F"/>
    <w:rsid w:val="00E12A8F"/>
    <w:rsid w:val="00E13160"/>
    <w:rsid w:val="00E13F1B"/>
    <w:rsid w:val="00E1415F"/>
    <w:rsid w:val="00E14199"/>
    <w:rsid w:val="00E144EB"/>
    <w:rsid w:val="00E15EB0"/>
    <w:rsid w:val="00E15F72"/>
    <w:rsid w:val="00E16474"/>
    <w:rsid w:val="00E166E8"/>
    <w:rsid w:val="00E166EA"/>
    <w:rsid w:val="00E167E7"/>
    <w:rsid w:val="00E170F3"/>
    <w:rsid w:val="00E17661"/>
    <w:rsid w:val="00E17698"/>
    <w:rsid w:val="00E17ADD"/>
    <w:rsid w:val="00E17F79"/>
    <w:rsid w:val="00E20648"/>
    <w:rsid w:val="00E20DDE"/>
    <w:rsid w:val="00E21C83"/>
    <w:rsid w:val="00E21E4B"/>
    <w:rsid w:val="00E23036"/>
    <w:rsid w:val="00E232A3"/>
    <w:rsid w:val="00E23A3D"/>
    <w:rsid w:val="00E23E20"/>
    <w:rsid w:val="00E23E5B"/>
    <w:rsid w:val="00E24AFD"/>
    <w:rsid w:val="00E24C4C"/>
    <w:rsid w:val="00E24CAC"/>
    <w:rsid w:val="00E25612"/>
    <w:rsid w:val="00E256CD"/>
    <w:rsid w:val="00E25866"/>
    <w:rsid w:val="00E26052"/>
    <w:rsid w:val="00E2621D"/>
    <w:rsid w:val="00E2660D"/>
    <w:rsid w:val="00E26C94"/>
    <w:rsid w:val="00E3025A"/>
    <w:rsid w:val="00E31779"/>
    <w:rsid w:val="00E31CAE"/>
    <w:rsid w:val="00E32B2A"/>
    <w:rsid w:val="00E32BFC"/>
    <w:rsid w:val="00E32C3E"/>
    <w:rsid w:val="00E32C61"/>
    <w:rsid w:val="00E33DCE"/>
    <w:rsid w:val="00E342AF"/>
    <w:rsid w:val="00E34324"/>
    <w:rsid w:val="00E34470"/>
    <w:rsid w:val="00E344E1"/>
    <w:rsid w:val="00E34A3E"/>
    <w:rsid w:val="00E34F4C"/>
    <w:rsid w:val="00E35175"/>
    <w:rsid w:val="00E35585"/>
    <w:rsid w:val="00E35627"/>
    <w:rsid w:val="00E368E4"/>
    <w:rsid w:val="00E40195"/>
    <w:rsid w:val="00E40920"/>
    <w:rsid w:val="00E40F5B"/>
    <w:rsid w:val="00E4266E"/>
    <w:rsid w:val="00E42CB2"/>
    <w:rsid w:val="00E438FF"/>
    <w:rsid w:val="00E44968"/>
    <w:rsid w:val="00E44CD7"/>
    <w:rsid w:val="00E45831"/>
    <w:rsid w:val="00E46E92"/>
    <w:rsid w:val="00E4760B"/>
    <w:rsid w:val="00E477EE"/>
    <w:rsid w:val="00E478CA"/>
    <w:rsid w:val="00E51E5E"/>
    <w:rsid w:val="00E524C4"/>
    <w:rsid w:val="00E52829"/>
    <w:rsid w:val="00E52BB2"/>
    <w:rsid w:val="00E52C03"/>
    <w:rsid w:val="00E545DE"/>
    <w:rsid w:val="00E54960"/>
    <w:rsid w:val="00E54B1E"/>
    <w:rsid w:val="00E56396"/>
    <w:rsid w:val="00E565F5"/>
    <w:rsid w:val="00E56BE2"/>
    <w:rsid w:val="00E56D89"/>
    <w:rsid w:val="00E60638"/>
    <w:rsid w:val="00E60675"/>
    <w:rsid w:val="00E61108"/>
    <w:rsid w:val="00E6347E"/>
    <w:rsid w:val="00E63B2B"/>
    <w:rsid w:val="00E641DA"/>
    <w:rsid w:val="00E64438"/>
    <w:rsid w:val="00E64984"/>
    <w:rsid w:val="00E65D63"/>
    <w:rsid w:val="00E661B3"/>
    <w:rsid w:val="00E663CF"/>
    <w:rsid w:val="00E66726"/>
    <w:rsid w:val="00E66FD5"/>
    <w:rsid w:val="00E67B63"/>
    <w:rsid w:val="00E70BF4"/>
    <w:rsid w:val="00E70D83"/>
    <w:rsid w:val="00E71356"/>
    <w:rsid w:val="00E7178A"/>
    <w:rsid w:val="00E71AAB"/>
    <w:rsid w:val="00E7264B"/>
    <w:rsid w:val="00E729D4"/>
    <w:rsid w:val="00E732D9"/>
    <w:rsid w:val="00E73C0B"/>
    <w:rsid w:val="00E73DE5"/>
    <w:rsid w:val="00E74164"/>
    <w:rsid w:val="00E741C4"/>
    <w:rsid w:val="00E7433C"/>
    <w:rsid w:val="00E778FA"/>
    <w:rsid w:val="00E77D3B"/>
    <w:rsid w:val="00E80B36"/>
    <w:rsid w:val="00E80C2E"/>
    <w:rsid w:val="00E8107B"/>
    <w:rsid w:val="00E81163"/>
    <w:rsid w:val="00E814E8"/>
    <w:rsid w:val="00E8160A"/>
    <w:rsid w:val="00E81B4E"/>
    <w:rsid w:val="00E82AB9"/>
    <w:rsid w:val="00E831A5"/>
    <w:rsid w:val="00E832BE"/>
    <w:rsid w:val="00E83B56"/>
    <w:rsid w:val="00E83DCF"/>
    <w:rsid w:val="00E84399"/>
    <w:rsid w:val="00E84D8E"/>
    <w:rsid w:val="00E84DD5"/>
    <w:rsid w:val="00E84E4A"/>
    <w:rsid w:val="00E85AC7"/>
    <w:rsid w:val="00E86364"/>
    <w:rsid w:val="00E867C3"/>
    <w:rsid w:val="00E86F65"/>
    <w:rsid w:val="00E876EB"/>
    <w:rsid w:val="00E90CAC"/>
    <w:rsid w:val="00E91071"/>
    <w:rsid w:val="00E910AA"/>
    <w:rsid w:val="00E9175E"/>
    <w:rsid w:val="00E92EB6"/>
    <w:rsid w:val="00E93C75"/>
    <w:rsid w:val="00E93FF0"/>
    <w:rsid w:val="00E9458F"/>
    <w:rsid w:val="00E94ACB"/>
    <w:rsid w:val="00E94F6A"/>
    <w:rsid w:val="00E95033"/>
    <w:rsid w:val="00E95389"/>
    <w:rsid w:val="00E954A0"/>
    <w:rsid w:val="00E95596"/>
    <w:rsid w:val="00E96972"/>
    <w:rsid w:val="00E96992"/>
    <w:rsid w:val="00E969B4"/>
    <w:rsid w:val="00E96D07"/>
    <w:rsid w:val="00E97301"/>
    <w:rsid w:val="00E9766D"/>
    <w:rsid w:val="00E9779D"/>
    <w:rsid w:val="00E978A8"/>
    <w:rsid w:val="00EA052E"/>
    <w:rsid w:val="00EA16AF"/>
    <w:rsid w:val="00EA1878"/>
    <w:rsid w:val="00EA2DC6"/>
    <w:rsid w:val="00EA316E"/>
    <w:rsid w:val="00EA3300"/>
    <w:rsid w:val="00EA35E2"/>
    <w:rsid w:val="00EA3D57"/>
    <w:rsid w:val="00EA4057"/>
    <w:rsid w:val="00EA451B"/>
    <w:rsid w:val="00EA4623"/>
    <w:rsid w:val="00EA5165"/>
    <w:rsid w:val="00EA572E"/>
    <w:rsid w:val="00EA5844"/>
    <w:rsid w:val="00EA5F04"/>
    <w:rsid w:val="00EA683F"/>
    <w:rsid w:val="00EA693B"/>
    <w:rsid w:val="00EA7516"/>
    <w:rsid w:val="00EA7518"/>
    <w:rsid w:val="00EA7A5A"/>
    <w:rsid w:val="00EA7B00"/>
    <w:rsid w:val="00EB05C6"/>
    <w:rsid w:val="00EB0652"/>
    <w:rsid w:val="00EB079E"/>
    <w:rsid w:val="00EB096E"/>
    <w:rsid w:val="00EB1D78"/>
    <w:rsid w:val="00EB2274"/>
    <w:rsid w:val="00EB267B"/>
    <w:rsid w:val="00EB2DEC"/>
    <w:rsid w:val="00EB2E4C"/>
    <w:rsid w:val="00EB37A2"/>
    <w:rsid w:val="00EB4197"/>
    <w:rsid w:val="00EB4868"/>
    <w:rsid w:val="00EB5466"/>
    <w:rsid w:val="00EB5B0D"/>
    <w:rsid w:val="00EB5C0D"/>
    <w:rsid w:val="00EB6E00"/>
    <w:rsid w:val="00EB6EFB"/>
    <w:rsid w:val="00EB7D35"/>
    <w:rsid w:val="00EB7FFC"/>
    <w:rsid w:val="00EC0C55"/>
    <w:rsid w:val="00EC117C"/>
    <w:rsid w:val="00EC1E34"/>
    <w:rsid w:val="00EC23EA"/>
    <w:rsid w:val="00EC2F32"/>
    <w:rsid w:val="00EC2F37"/>
    <w:rsid w:val="00EC37CD"/>
    <w:rsid w:val="00EC3B7D"/>
    <w:rsid w:val="00EC406C"/>
    <w:rsid w:val="00EC4607"/>
    <w:rsid w:val="00EC5372"/>
    <w:rsid w:val="00EC542B"/>
    <w:rsid w:val="00EC593F"/>
    <w:rsid w:val="00EC5FFD"/>
    <w:rsid w:val="00EC6AEC"/>
    <w:rsid w:val="00ED01C8"/>
    <w:rsid w:val="00ED04FA"/>
    <w:rsid w:val="00ED08A6"/>
    <w:rsid w:val="00ED20C6"/>
    <w:rsid w:val="00ED21EB"/>
    <w:rsid w:val="00ED27AD"/>
    <w:rsid w:val="00ED2927"/>
    <w:rsid w:val="00ED2AED"/>
    <w:rsid w:val="00ED2C89"/>
    <w:rsid w:val="00ED3290"/>
    <w:rsid w:val="00ED36FE"/>
    <w:rsid w:val="00ED3719"/>
    <w:rsid w:val="00ED3B3D"/>
    <w:rsid w:val="00ED4759"/>
    <w:rsid w:val="00ED48F1"/>
    <w:rsid w:val="00ED514E"/>
    <w:rsid w:val="00ED5271"/>
    <w:rsid w:val="00ED6299"/>
    <w:rsid w:val="00ED7742"/>
    <w:rsid w:val="00EE045F"/>
    <w:rsid w:val="00EE0E12"/>
    <w:rsid w:val="00EE156C"/>
    <w:rsid w:val="00EE232D"/>
    <w:rsid w:val="00EE2CC1"/>
    <w:rsid w:val="00EE3B1B"/>
    <w:rsid w:val="00EE3FDC"/>
    <w:rsid w:val="00EE42E4"/>
    <w:rsid w:val="00EE43CA"/>
    <w:rsid w:val="00EE4637"/>
    <w:rsid w:val="00EE498F"/>
    <w:rsid w:val="00EE4ACD"/>
    <w:rsid w:val="00EE4EF2"/>
    <w:rsid w:val="00EE4FE6"/>
    <w:rsid w:val="00EE561F"/>
    <w:rsid w:val="00EE6401"/>
    <w:rsid w:val="00EE6A5F"/>
    <w:rsid w:val="00EE7A32"/>
    <w:rsid w:val="00EE7A89"/>
    <w:rsid w:val="00EF069A"/>
    <w:rsid w:val="00EF0C8A"/>
    <w:rsid w:val="00EF143A"/>
    <w:rsid w:val="00EF2813"/>
    <w:rsid w:val="00EF326C"/>
    <w:rsid w:val="00EF4FDD"/>
    <w:rsid w:val="00EF5C83"/>
    <w:rsid w:val="00EF6275"/>
    <w:rsid w:val="00EF630B"/>
    <w:rsid w:val="00EF6847"/>
    <w:rsid w:val="00EF6887"/>
    <w:rsid w:val="00EF6913"/>
    <w:rsid w:val="00EF734B"/>
    <w:rsid w:val="00EF781D"/>
    <w:rsid w:val="00EF781F"/>
    <w:rsid w:val="00EF7CAA"/>
    <w:rsid w:val="00F008FF"/>
    <w:rsid w:val="00F011F0"/>
    <w:rsid w:val="00F014EA"/>
    <w:rsid w:val="00F026CD"/>
    <w:rsid w:val="00F0407E"/>
    <w:rsid w:val="00F05664"/>
    <w:rsid w:val="00F056F9"/>
    <w:rsid w:val="00F06020"/>
    <w:rsid w:val="00F0604C"/>
    <w:rsid w:val="00F064B0"/>
    <w:rsid w:val="00F06FD5"/>
    <w:rsid w:val="00F07181"/>
    <w:rsid w:val="00F07B5B"/>
    <w:rsid w:val="00F103A0"/>
    <w:rsid w:val="00F10960"/>
    <w:rsid w:val="00F10BA6"/>
    <w:rsid w:val="00F10C2D"/>
    <w:rsid w:val="00F11261"/>
    <w:rsid w:val="00F11991"/>
    <w:rsid w:val="00F12982"/>
    <w:rsid w:val="00F12DC0"/>
    <w:rsid w:val="00F13E8A"/>
    <w:rsid w:val="00F1437F"/>
    <w:rsid w:val="00F1451E"/>
    <w:rsid w:val="00F14B7C"/>
    <w:rsid w:val="00F14D21"/>
    <w:rsid w:val="00F157BA"/>
    <w:rsid w:val="00F15B0A"/>
    <w:rsid w:val="00F15F31"/>
    <w:rsid w:val="00F160E5"/>
    <w:rsid w:val="00F172A2"/>
    <w:rsid w:val="00F17CF3"/>
    <w:rsid w:val="00F206D9"/>
    <w:rsid w:val="00F20C2B"/>
    <w:rsid w:val="00F2112F"/>
    <w:rsid w:val="00F21EC3"/>
    <w:rsid w:val="00F220D8"/>
    <w:rsid w:val="00F227E4"/>
    <w:rsid w:val="00F23A57"/>
    <w:rsid w:val="00F23AA1"/>
    <w:rsid w:val="00F24BA7"/>
    <w:rsid w:val="00F24E4F"/>
    <w:rsid w:val="00F254CF"/>
    <w:rsid w:val="00F25525"/>
    <w:rsid w:val="00F25FF0"/>
    <w:rsid w:val="00F26705"/>
    <w:rsid w:val="00F271CA"/>
    <w:rsid w:val="00F300E0"/>
    <w:rsid w:val="00F30150"/>
    <w:rsid w:val="00F306BE"/>
    <w:rsid w:val="00F30D30"/>
    <w:rsid w:val="00F318B5"/>
    <w:rsid w:val="00F329CC"/>
    <w:rsid w:val="00F33699"/>
    <w:rsid w:val="00F3416F"/>
    <w:rsid w:val="00F34516"/>
    <w:rsid w:val="00F34FB4"/>
    <w:rsid w:val="00F35296"/>
    <w:rsid w:val="00F358EA"/>
    <w:rsid w:val="00F36CBC"/>
    <w:rsid w:val="00F371FD"/>
    <w:rsid w:val="00F37903"/>
    <w:rsid w:val="00F37AD8"/>
    <w:rsid w:val="00F41C1B"/>
    <w:rsid w:val="00F4209A"/>
    <w:rsid w:val="00F42B7C"/>
    <w:rsid w:val="00F43C09"/>
    <w:rsid w:val="00F43C70"/>
    <w:rsid w:val="00F44364"/>
    <w:rsid w:val="00F44658"/>
    <w:rsid w:val="00F4475D"/>
    <w:rsid w:val="00F44C50"/>
    <w:rsid w:val="00F455C0"/>
    <w:rsid w:val="00F4644C"/>
    <w:rsid w:val="00F46979"/>
    <w:rsid w:val="00F47B9A"/>
    <w:rsid w:val="00F47E30"/>
    <w:rsid w:val="00F501B3"/>
    <w:rsid w:val="00F501D4"/>
    <w:rsid w:val="00F511EF"/>
    <w:rsid w:val="00F514B2"/>
    <w:rsid w:val="00F52579"/>
    <w:rsid w:val="00F5267F"/>
    <w:rsid w:val="00F526F9"/>
    <w:rsid w:val="00F5271E"/>
    <w:rsid w:val="00F52AF7"/>
    <w:rsid w:val="00F5395F"/>
    <w:rsid w:val="00F53FED"/>
    <w:rsid w:val="00F54FC0"/>
    <w:rsid w:val="00F55AAD"/>
    <w:rsid w:val="00F56196"/>
    <w:rsid w:val="00F56558"/>
    <w:rsid w:val="00F5775B"/>
    <w:rsid w:val="00F577E8"/>
    <w:rsid w:val="00F60796"/>
    <w:rsid w:val="00F6190E"/>
    <w:rsid w:val="00F61AD7"/>
    <w:rsid w:val="00F61E8B"/>
    <w:rsid w:val="00F62509"/>
    <w:rsid w:val="00F64D9C"/>
    <w:rsid w:val="00F658AB"/>
    <w:rsid w:val="00F679C1"/>
    <w:rsid w:val="00F701F9"/>
    <w:rsid w:val="00F71C2C"/>
    <w:rsid w:val="00F72086"/>
    <w:rsid w:val="00F74273"/>
    <w:rsid w:val="00F74473"/>
    <w:rsid w:val="00F75277"/>
    <w:rsid w:val="00F75D82"/>
    <w:rsid w:val="00F75FE9"/>
    <w:rsid w:val="00F76D23"/>
    <w:rsid w:val="00F77A2F"/>
    <w:rsid w:val="00F77E8B"/>
    <w:rsid w:val="00F802FB"/>
    <w:rsid w:val="00F80AD7"/>
    <w:rsid w:val="00F818DC"/>
    <w:rsid w:val="00F81E60"/>
    <w:rsid w:val="00F823E4"/>
    <w:rsid w:val="00F830A5"/>
    <w:rsid w:val="00F84DB7"/>
    <w:rsid w:val="00F84E95"/>
    <w:rsid w:val="00F84ED9"/>
    <w:rsid w:val="00F85F8B"/>
    <w:rsid w:val="00F8629D"/>
    <w:rsid w:val="00F866F1"/>
    <w:rsid w:val="00F86962"/>
    <w:rsid w:val="00F86CF7"/>
    <w:rsid w:val="00F87148"/>
    <w:rsid w:val="00F873A6"/>
    <w:rsid w:val="00F9122D"/>
    <w:rsid w:val="00F91306"/>
    <w:rsid w:val="00F91AEA"/>
    <w:rsid w:val="00F91F26"/>
    <w:rsid w:val="00F92281"/>
    <w:rsid w:val="00F92DD2"/>
    <w:rsid w:val="00F93104"/>
    <w:rsid w:val="00F932B2"/>
    <w:rsid w:val="00F93FD2"/>
    <w:rsid w:val="00F942F5"/>
    <w:rsid w:val="00F947CD"/>
    <w:rsid w:val="00F94D95"/>
    <w:rsid w:val="00F9525E"/>
    <w:rsid w:val="00F966E0"/>
    <w:rsid w:val="00F97642"/>
    <w:rsid w:val="00F979DA"/>
    <w:rsid w:val="00FA03C7"/>
    <w:rsid w:val="00FA0DD6"/>
    <w:rsid w:val="00FA1C79"/>
    <w:rsid w:val="00FA3079"/>
    <w:rsid w:val="00FA316B"/>
    <w:rsid w:val="00FA35F8"/>
    <w:rsid w:val="00FA4012"/>
    <w:rsid w:val="00FA4E49"/>
    <w:rsid w:val="00FA5F29"/>
    <w:rsid w:val="00FA6877"/>
    <w:rsid w:val="00FA6BB0"/>
    <w:rsid w:val="00FA6D34"/>
    <w:rsid w:val="00FA7ADC"/>
    <w:rsid w:val="00FB0739"/>
    <w:rsid w:val="00FB10F6"/>
    <w:rsid w:val="00FB1B44"/>
    <w:rsid w:val="00FB1FFF"/>
    <w:rsid w:val="00FB3160"/>
    <w:rsid w:val="00FB368E"/>
    <w:rsid w:val="00FB39D5"/>
    <w:rsid w:val="00FB3AB4"/>
    <w:rsid w:val="00FB3C09"/>
    <w:rsid w:val="00FB50AA"/>
    <w:rsid w:val="00FB5C52"/>
    <w:rsid w:val="00FB5E95"/>
    <w:rsid w:val="00FB65A7"/>
    <w:rsid w:val="00FB6982"/>
    <w:rsid w:val="00FB71B9"/>
    <w:rsid w:val="00FB71CE"/>
    <w:rsid w:val="00FB7286"/>
    <w:rsid w:val="00FB7539"/>
    <w:rsid w:val="00FB7720"/>
    <w:rsid w:val="00FC0174"/>
    <w:rsid w:val="00FC0AE1"/>
    <w:rsid w:val="00FC15D8"/>
    <w:rsid w:val="00FC1A02"/>
    <w:rsid w:val="00FC1B1A"/>
    <w:rsid w:val="00FC1DBF"/>
    <w:rsid w:val="00FC254A"/>
    <w:rsid w:val="00FC2C90"/>
    <w:rsid w:val="00FC2F1B"/>
    <w:rsid w:val="00FC3062"/>
    <w:rsid w:val="00FC32C1"/>
    <w:rsid w:val="00FC45DF"/>
    <w:rsid w:val="00FC4B96"/>
    <w:rsid w:val="00FC551F"/>
    <w:rsid w:val="00FC57BB"/>
    <w:rsid w:val="00FC5A18"/>
    <w:rsid w:val="00FC5C3F"/>
    <w:rsid w:val="00FC5EB5"/>
    <w:rsid w:val="00FC5F5B"/>
    <w:rsid w:val="00FC61EA"/>
    <w:rsid w:val="00FC6C1D"/>
    <w:rsid w:val="00FC72C8"/>
    <w:rsid w:val="00FC79E6"/>
    <w:rsid w:val="00FD043C"/>
    <w:rsid w:val="00FD056B"/>
    <w:rsid w:val="00FD100D"/>
    <w:rsid w:val="00FD1792"/>
    <w:rsid w:val="00FD192F"/>
    <w:rsid w:val="00FD226A"/>
    <w:rsid w:val="00FD2930"/>
    <w:rsid w:val="00FD3643"/>
    <w:rsid w:val="00FD373B"/>
    <w:rsid w:val="00FD3B55"/>
    <w:rsid w:val="00FD3F37"/>
    <w:rsid w:val="00FD4A1F"/>
    <w:rsid w:val="00FD4FEC"/>
    <w:rsid w:val="00FD511A"/>
    <w:rsid w:val="00FD5AFC"/>
    <w:rsid w:val="00FD6216"/>
    <w:rsid w:val="00FD7B1C"/>
    <w:rsid w:val="00FE0465"/>
    <w:rsid w:val="00FE04AA"/>
    <w:rsid w:val="00FE0AB8"/>
    <w:rsid w:val="00FE11A1"/>
    <w:rsid w:val="00FE19AB"/>
    <w:rsid w:val="00FE1B25"/>
    <w:rsid w:val="00FE218E"/>
    <w:rsid w:val="00FE32C1"/>
    <w:rsid w:val="00FE38D2"/>
    <w:rsid w:val="00FE4F70"/>
    <w:rsid w:val="00FE5182"/>
    <w:rsid w:val="00FE552F"/>
    <w:rsid w:val="00FE5822"/>
    <w:rsid w:val="00FE64BE"/>
    <w:rsid w:val="00FE69D4"/>
    <w:rsid w:val="00FE70EB"/>
    <w:rsid w:val="00FE752B"/>
    <w:rsid w:val="00FE7A25"/>
    <w:rsid w:val="00FF1110"/>
    <w:rsid w:val="00FF1D7E"/>
    <w:rsid w:val="00FF1E3E"/>
    <w:rsid w:val="00FF2476"/>
    <w:rsid w:val="00FF2549"/>
    <w:rsid w:val="00FF451D"/>
    <w:rsid w:val="00FF4531"/>
    <w:rsid w:val="00FF4AA7"/>
    <w:rsid w:val="00FF4F76"/>
    <w:rsid w:val="00FF54DC"/>
    <w:rsid w:val="00FF5825"/>
    <w:rsid w:val="00FF7D21"/>
    <w:rsid w:val="022B0AF2"/>
    <w:rsid w:val="02495E9B"/>
    <w:rsid w:val="03F1FAB0"/>
    <w:rsid w:val="06C4BF6E"/>
    <w:rsid w:val="077475A5"/>
    <w:rsid w:val="077524A4"/>
    <w:rsid w:val="07A7E9D6"/>
    <w:rsid w:val="07EA0677"/>
    <w:rsid w:val="0804E3E2"/>
    <w:rsid w:val="087E887C"/>
    <w:rsid w:val="09F7F96B"/>
    <w:rsid w:val="0AB5547F"/>
    <w:rsid w:val="0B561ED5"/>
    <w:rsid w:val="0B58596A"/>
    <w:rsid w:val="0C2B09B7"/>
    <w:rsid w:val="0D42B5F7"/>
    <w:rsid w:val="0DAA4B0B"/>
    <w:rsid w:val="0E07B560"/>
    <w:rsid w:val="0E22AB06"/>
    <w:rsid w:val="0E6ABECC"/>
    <w:rsid w:val="0E949999"/>
    <w:rsid w:val="0F5B1C5D"/>
    <w:rsid w:val="10068F2D"/>
    <w:rsid w:val="1269E842"/>
    <w:rsid w:val="13298F11"/>
    <w:rsid w:val="14C0D7F3"/>
    <w:rsid w:val="14CB95C2"/>
    <w:rsid w:val="17F1EFD7"/>
    <w:rsid w:val="19245CEF"/>
    <w:rsid w:val="19E7776E"/>
    <w:rsid w:val="1BF25DC7"/>
    <w:rsid w:val="1C6056B0"/>
    <w:rsid w:val="1D74EDDD"/>
    <w:rsid w:val="1E6B1F93"/>
    <w:rsid w:val="1FA79200"/>
    <w:rsid w:val="20756E50"/>
    <w:rsid w:val="208D4F29"/>
    <w:rsid w:val="20D7A844"/>
    <w:rsid w:val="213F431E"/>
    <w:rsid w:val="23C28CAE"/>
    <w:rsid w:val="24708DE1"/>
    <w:rsid w:val="249C8AB8"/>
    <w:rsid w:val="25E39177"/>
    <w:rsid w:val="26D6A7D6"/>
    <w:rsid w:val="2716869E"/>
    <w:rsid w:val="279BD4BB"/>
    <w:rsid w:val="27B9CB12"/>
    <w:rsid w:val="27DEFE72"/>
    <w:rsid w:val="29026876"/>
    <w:rsid w:val="29F226F6"/>
    <w:rsid w:val="2A6BA45C"/>
    <w:rsid w:val="2AAFA16B"/>
    <w:rsid w:val="2B9D517D"/>
    <w:rsid w:val="2C93F506"/>
    <w:rsid w:val="2D0A3DFF"/>
    <w:rsid w:val="2F4A9B64"/>
    <w:rsid w:val="30D23F55"/>
    <w:rsid w:val="31BDC04C"/>
    <w:rsid w:val="3288A990"/>
    <w:rsid w:val="34062ACB"/>
    <w:rsid w:val="35234741"/>
    <w:rsid w:val="35528575"/>
    <w:rsid w:val="36742BC3"/>
    <w:rsid w:val="38B544DD"/>
    <w:rsid w:val="395E3F5D"/>
    <w:rsid w:val="3A42D290"/>
    <w:rsid w:val="3A5E4C7B"/>
    <w:rsid w:val="3AA37090"/>
    <w:rsid w:val="3E185D50"/>
    <w:rsid w:val="3FA8A505"/>
    <w:rsid w:val="422B28D0"/>
    <w:rsid w:val="4417EE7B"/>
    <w:rsid w:val="444A2C75"/>
    <w:rsid w:val="44B0C9BB"/>
    <w:rsid w:val="453A104F"/>
    <w:rsid w:val="458BDE2B"/>
    <w:rsid w:val="46C7CCB7"/>
    <w:rsid w:val="4755956F"/>
    <w:rsid w:val="48E6F4CA"/>
    <w:rsid w:val="4966533D"/>
    <w:rsid w:val="496A30D2"/>
    <w:rsid w:val="499CEF2C"/>
    <w:rsid w:val="4A1D4AFE"/>
    <w:rsid w:val="4BFEB697"/>
    <w:rsid w:val="4CB6A5CD"/>
    <w:rsid w:val="4CB7CDDA"/>
    <w:rsid w:val="4E479BE4"/>
    <w:rsid w:val="4FA67A51"/>
    <w:rsid w:val="51E96403"/>
    <w:rsid w:val="5287EA46"/>
    <w:rsid w:val="52CE1BC6"/>
    <w:rsid w:val="53B81168"/>
    <w:rsid w:val="5429DEC8"/>
    <w:rsid w:val="5458C9C3"/>
    <w:rsid w:val="54DBADB7"/>
    <w:rsid w:val="56E88498"/>
    <w:rsid w:val="5801AF51"/>
    <w:rsid w:val="582CB6FB"/>
    <w:rsid w:val="5A6E7C72"/>
    <w:rsid w:val="5AA1E86A"/>
    <w:rsid w:val="5AEA70D5"/>
    <w:rsid w:val="5AF7BC1D"/>
    <w:rsid w:val="5B288CFB"/>
    <w:rsid w:val="5C1D3540"/>
    <w:rsid w:val="5C96B6FF"/>
    <w:rsid w:val="5CDBEB95"/>
    <w:rsid w:val="5D2EC2ED"/>
    <w:rsid w:val="5D2FE089"/>
    <w:rsid w:val="5D757C77"/>
    <w:rsid w:val="5EE36FDC"/>
    <w:rsid w:val="5F24C322"/>
    <w:rsid w:val="5F532D31"/>
    <w:rsid w:val="6017BD07"/>
    <w:rsid w:val="60EB1F4B"/>
    <w:rsid w:val="616A7357"/>
    <w:rsid w:val="620BA7DF"/>
    <w:rsid w:val="634520AE"/>
    <w:rsid w:val="65954A6F"/>
    <w:rsid w:val="66346728"/>
    <w:rsid w:val="6758A550"/>
    <w:rsid w:val="68696435"/>
    <w:rsid w:val="6912CB7A"/>
    <w:rsid w:val="697B210C"/>
    <w:rsid w:val="6A2D83B1"/>
    <w:rsid w:val="6ACE9593"/>
    <w:rsid w:val="6B78BD0E"/>
    <w:rsid w:val="6CD80EAB"/>
    <w:rsid w:val="6D7FA38B"/>
    <w:rsid w:val="6DFB99B3"/>
    <w:rsid w:val="6E7E3F0D"/>
    <w:rsid w:val="6E865709"/>
    <w:rsid w:val="6E9B53C4"/>
    <w:rsid w:val="6F19D5EC"/>
    <w:rsid w:val="6F6D7AA2"/>
    <w:rsid w:val="6FE5114E"/>
    <w:rsid w:val="701573D5"/>
    <w:rsid w:val="70308720"/>
    <w:rsid w:val="70A2F440"/>
    <w:rsid w:val="70EE7F93"/>
    <w:rsid w:val="7168E251"/>
    <w:rsid w:val="72538EBF"/>
    <w:rsid w:val="72BCF495"/>
    <w:rsid w:val="72ED897F"/>
    <w:rsid w:val="7342CBD9"/>
    <w:rsid w:val="7367362E"/>
    <w:rsid w:val="738FBDE2"/>
    <w:rsid w:val="73FAFE75"/>
    <w:rsid w:val="75884C0B"/>
    <w:rsid w:val="770E3E92"/>
    <w:rsid w:val="778D0614"/>
    <w:rsid w:val="78958753"/>
    <w:rsid w:val="78A14705"/>
    <w:rsid w:val="7941AED5"/>
    <w:rsid w:val="795B67A0"/>
    <w:rsid w:val="7C0A00B7"/>
    <w:rsid w:val="7CAA6BF9"/>
    <w:rsid w:val="7EE8C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B1294A"/>
  <w15:chartTrackingRefBased/>
  <w15:docId w15:val="{CF04AD65-2E05-4576-940D-B8E5D9E4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FB71CE"/>
    <w:pPr>
      <w:spacing w:after="60"/>
      <w:jc w:val="both"/>
    </w:pPr>
    <w:rPr>
      <w:rFonts w:ascii="Arial" w:hAnsi="Arial"/>
      <w:sz w:val="22"/>
      <w:szCs w:val="24"/>
      <w:lang w:val="es-PE" w:eastAsia="en-US"/>
    </w:rPr>
  </w:style>
  <w:style w:type="paragraph" w:styleId="Ttulo1">
    <w:name w:val="heading 1"/>
    <w:basedOn w:val="Normal"/>
    <w:next w:val="Normal"/>
    <w:qFormat/>
    <w:rsid w:val="008F1069"/>
    <w:pPr>
      <w:keepNext/>
      <w:numPr>
        <w:numId w:val="8"/>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tulo2">
    <w:name w:val="heading 2"/>
    <w:basedOn w:val="Normal"/>
    <w:next w:val="Normal"/>
    <w:qFormat/>
    <w:pPr>
      <w:keepNext/>
      <w:ind w:left="720"/>
      <w:outlineLvl w:val="1"/>
    </w:pPr>
    <w:rPr>
      <w:rFonts w:ascii="Arial Narrow" w:hAnsi="Arial Narrow"/>
      <w:b/>
      <w:bCs/>
    </w:rPr>
  </w:style>
  <w:style w:type="paragraph" w:styleId="Ttulo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tulo4">
    <w:name w:val="heading 4"/>
    <w:basedOn w:val="Normal"/>
    <w:next w:val="Normal"/>
    <w:qFormat/>
    <w:pPr>
      <w:keepNext/>
      <w:widowControl w:val="0"/>
      <w:spacing w:after="540"/>
      <w:ind w:left="116"/>
      <w:outlineLvl w:val="3"/>
    </w:pPr>
    <w:rPr>
      <w:b/>
      <w:spacing w:val="15"/>
      <w:sz w:val="28"/>
      <w:lang w:val="en-US"/>
    </w:rPr>
  </w:style>
  <w:style w:type="paragraph" w:styleId="Ttulo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153"/>
        <w:tab w:val="right" w:pos="8306"/>
      </w:tabs>
    </w:p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notapie">
    <w:name w:val="footnote text"/>
    <w:aliases w:val="Geneva 9,Font: Geneva 9,Boston 10,f,single space,Footnote,otnote Text,Times Roman 9,footnote text,footnote text Car Car Car Car Car Car Car,footnote text Car Car Car Car Car Car Car Car Car Car Car Car Car,ft,Char Char Char Char,Fußnote"/>
    <w:basedOn w:val="Normal"/>
    <w:link w:val="TextonotapieCar"/>
    <w:uiPriority w:val="99"/>
    <w:qFormat/>
    <w:pPr>
      <w:widowControl w:val="0"/>
    </w:pPr>
    <w:rPr>
      <w:rFonts w:ascii="Courier" w:hAnsi="Courier"/>
      <w:szCs w:val="20"/>
      <w:lang w:val="en-US"/>
    </w:rPr>
  </w:style>
  <w:style w:type="paragraph" w:styleId="Textoindependiente3">
    <w:name w:val="Body Text 3"/>
    <w:basedOn w:val="Normal"/>
    <w:rPr>
      <w:szCs w:val="20"/>
      <w:lang w:val="en-US"/>
    </w:rPr>
  </w:style>
  <w:style w:type="paragraph" w:styleId="Sangradetextonormal">
    <w:name w:val="Body Text Indent"/>
    <w:basedOn w:val="Normal"/>
    <w:link w:val="SangradetextonormalCar"/>
    <w:pPr>
      <w:tabs>
        <w:tab w:val="left" w:pos="360"/>
      </w:tabs>
    </w:pPr>
    <w:rPr>
      <w:b/>
      <w:i/>
      <w:sz w:val="28"/>
      <w:szCs w:val="20"/>
      <w:lang w:val="en-US"/>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link w:val="TextoindependienteCar"/>
    <w:pPr>
      <w:pBdr>
        <w:bottom w:val="single" w:sz="4" w:space="1" w:color="auto"/>
      </w:pBdr>
    </w:pPr>
    <w:rPr>
      <w:rFonts w:ascii="Arial Narrow" w:hAnsi="Arial Narrow"/>
      <w:i/>
      <w:iCs/>
    </w:rPr>
  </w:style>
  <w:style w:type="paragraph" w:styleId="Textoindependiente2">
    <w:name w:val="Body Text 2"/>
    <w:basedOn w:val="Normal"/>
    <w:pPr>
      <w:spacing w:before="120" w:after="120"/>
    </w:pPr>
    <w:rPr>
      <w:rFonts w:ascii="Arial Narrow" w:hAnsi="Arial Narrow"/>
    </w:rPr>
  </w:style>
  <w:style w:type="paragraph" w:styleId="Textodeglobo">
    <w:name w:val="Balloon Text"/>
    <w:basedOn w:val="Normal"/>
    <w:semiHidden/>
    <w:rsid w:val="00D260B0"/>
    <w:rPr>
      <w:rFonts w:ascii="Tahoma" w:hAnsi="Tahoma" w:cs="Tahoma"/>
      <w:sz w:val="16"/>
      <w:szCs w:val="16"/>
    </w:rPr>
  </w:style>
  <w:style w:type="character" w:styleId="Refdecomentario">
    <w:name w:val="annotation reference"/>
    <w:semiHidden/>
    <w:rsid w:val="00EF6275"/>
    <w:rPr>
      <w:sz w:val="16"/>
      <w:szCs w:val="16"/>
    </w:rPr>
  </w:style>
  <w:style w:type="paragraph" w:styleId="Textocomentario">
    <w:name w:val="annotation text"/>
    <w:basedOn w:val="Normal"/>
    <w:link w:val="TextocomentarioCar"/>
    <w:semiHidden/>
    <w:rsid w:val="00EF6275"/>
    <w:rPr>
      <w:szCs w:val="20"/>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nfasis">
    <w:name w:val="Emphasis"/>
    <w:qFormat/>
    <w:rsid w:val="00F30150"/>
    <w:rPr>
      <w:i/>
      <w:iCs/>
    </w:rPr>
  </w:style>
  <w:style w:type="character" w:styleId="Refdenotaalpie">
    <w:name w:val="footnote reference"/>
    <w:aliases w:val="16 Point,Superscript 6 Point,Superscript 6 Point + 11 pt,ftref,BVI fnr,BVI fnr Car Car,BVI fnr Car,BVI fnr Car Car Car Car,Footnote text,Ref. de nota al pie.,4_G,Footnotes refss,Appel note de bas de p.,callout,Fago Fußnotenzeichen,fr"/>
    <w:link w:val="CharCharCharCharCarChar"/>
    <w:uiPriority w:val="99"/>
    <w:qFormat/>
    <w:rsid w:val="00BF50E7"/>
    <w:rPr>
      <w:rFonts w:ascii="Arial" w:hAnsi="Arial"/>
      <w:sz w:val="18"/>
      <w:vertAlign w:val="superscript"/>
    </w:rPr>
  </w:style>
  <w:style w:type="paragraph" w:customStyle="1" w:styleId="Char">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Listavistosa-nfasis11">
    <w:name w:val="Lista vistosa - Énfasis 11"/>
    <w:aliases w:val="List Paragraph1"/>
    <w:basedOn w:val="Normal"/>
    <w:link w:val="Listavistosa-nfasis1Car"/>
    <w:uiPriority w:val="34"/>
    <w:qFormat/>
    <w:rsid w:val="00DB520F"/>
    <w:pPr>
      <w:spacing w:after="0"/>
      <w:ind w:left="720"/>
      <w:jc w:val="left"/>
    </w:pPr>
    <w:rPr>
      <w:rFonts w:ascii="Times New Roman" w:hAnsi="Times New Roman"/>
      <w:sz w:val="24"/>
      <w:lang w:val="en-US"/>
    </w:rPr>
  </w:style>
  <w:style w:type="paragraph" w:styleId="Ttulo">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character" w:customStyle="1" w:styleId="albertos">
    <w:name w:val="albertos"/>
    <w:semiHidden/>
    <w:rsid w:val="00C70539"/>
    <w:rPr>
      <w:rFonts w:ascii="Arial" w:hAnsi="Arial" w:cs="Arial"/>
      <w:color w:val="000080"/>
      <w:sz w:val="20"/>
      <w:szCs w:val="20"/>
    </w:rPr>
  </w:style>
  <w:style w:type="character" w:customStyle="1" w:styleId="TextonotapieCar">
    <w:name w:val="Texto nota pie Car"/>
    <w:aliases w:val="Geneva 9 Car,Font: Geneva 9 Car,Boston 10 Car,f Car,single space Car,Footnote Car,otnote Text Car,Times Roman 9 Car,footnote text Car,footnote text Car Car Car Car Car Car Car Car,ft Car,Char Char Char Char Car,Fußnote Car"/>
    <w:link w:val="Textonotapie"/>
    <w:uiPriority w:val="99"/>
    <w:rsid w:val="00C768A4"/>
    <w:rPr>
      <w:rFonts w:ascii="Courier" w:hAnsi="Courier"/>
      <w:sz w:val="22"/>
    </w:rPr>
  </w:style>
  <w:style w:type="character" w:customStyle="1" w:styleId="Listavistosa-nfasis1Car">
    <w:name w:val="Lista vistosa - Énfasis 1 Car"/>
    <w:aliases w:val="List Paragraph1 Car"/>
    <w:link w:val="Listavistosa-nfasis11"/>
    <w:uiPriority w:val="34"/>
    <w:locked/>
    <w:rsid w:val="00581FFB"/>
    <w:rPr>
      <w:sz w:val="24"/>
      <w:szCs w:val="24"/>
      <w:lang w:val="en-US" w:eastAsia="en-US"/>
    </w:rPr>
  </w:style>
  <w:style w:type="character" w:customStyle="1" w:styleId="Mencinsinresolver1">
    <w:name w:val="Mención sin resolver1"/>
    <w:uiPriority w:val="99"/>
    <w:semiHidden/>
    <w:unhideWhenUsed/>
    <w:rsid w:val="00E23A3D"/>
    <w:rPr>
      <w:color w:val="808080"/>
      <w:shd w:val="clear" w:color="auto" w:fill="E6E6E6"/>
    </w:rPr>
  </w:style>
  <w:style w:type="paragraph" w:customStyle="1" w:styleId="Default">
    <w:name w:val="Default"/>
    <w:rsid w:val="00856A14"/>
    <w:pPr>
      <w:autoSpaceDE w:val="0"/>
      <w:autoSpaceDN w:val="0"/>
      <w:adjustRightInd w:val="0"/>
    </w:pPr>
    <w:rPr>
      <w:rFonts w:ascii="Arial" w:hAnsi="Arial" w:cs="Arial"/>
      <w:color w:val="000000"/>
      <w:sz w:val="24"/>
      <w:szCs w:val="24"/>
      <w:lang w:val="es-PE" w:eastAsia="es-PE"/>
    </w:rPr>
  </w:style>
  <w:style w:type="paragraph" w:styleId="HTMLconformatoprevio">
    <w:name w:val="HTML Preformatted"/>
    <w:basedOn w:val="Normal"/>
    <w:link w:val="HTMLconformatoprevioCar"/>
    <w:uiPriority w:val="99"/>
    <w:unhideWhenUsed/>
    <w:rsid w:val="006C4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eastAsia="es-PE"/>
    </w:rPr>
  </w:style>
  <w:style w:type="character" w:customStyle="1" w:styleId="HTMLconformatoprevioCar">
    <w:name w:val="HTML con formato previo Car"/>
    <w:link w:val="HTMLconformatoprevio"/>
    <w:uiPriority w:val="99"/>
    <w:rsid w:val="006C4C8C"/>
    <w:rPr>
      <w:rFonts w:ascii="Courier New" w:hAnsi="Courier New" w:cs="Courier New"/>
    </w:rPr>
  </w:style>
  <w:style w:type="paragraph" w:styleId="Prrafodelista">
    <w:name w:val="List Paragraph"/>
    <w:aliases w:val="Number List 1,List number Paragraph,SOP_bullet1"/>
    <w:basedOn w:val="Normal"/>
    <w:link w:val="PrrafodelistaCar"/>
    <w:uiPriority w:val="34"/>
    <w:qFormat/>
    <w:rsid w:val="00D74C42"/>
    <w:pPr>
      <w:spacing w:after="160" w:line="259" w:lineRule="auto"/>
      <w:ind w:left="720"/>
      <w:contextualSpacing/>
      <w:jc w:val="left"/>
    </w:pPr>
    <w:rPr>
      <w:rFonts w:ascii="Calibri" w:eastAsia="Calibri" w:hAnsi="Calibri"/>
      <w:szCs w:val="22"/>
    </w:rPr>
  </w:style>
  <w:style w:type="character" w:styleId="Mencinsinresolver">
    <w:name w:val="Unresolved Mention"/>
    <w:uiPriority w:val="47"/>
    <w:rsid w:val="0020384F"/>
    <w:rPr>
      <w:color w:val="808080"/>
      <w:shd w:val="clear" w:color="auto" w:fill="E6E6E6"/>
    </w:rPr>
  </w:style>
  <w:style w:type="character" w:customStyle="1" w:styleId="PrrafodelistaCar">
    <w:name w:val="Párrafo de lista Car"/>
    <w:aliases w:val="Number List 1 Car,List number Paragraph Car,SOP_bullet1 Car"/>
    <w:link w:val="Prrafodelista"/>
    <w:uiPriority w:val="34"/>
    <w:rsid w:val="00C04424"/>
    <w:rPr>
      <w:rFonts w:ascii="Calibri" w:eastAsia="Calibri" w:hAnsi="Calibri"/>
      <w:sz w:val="22"/>
      <w:szCs w:val="22"/>
      <w:lang w:eastAsia="en-US"/>
    </w:rPr>
  </w:style>
  <w:style w:type="paragraph" w:styleId="Sangra2detindependiente">
    <w:name w:val="Body Text Indent 2"/>
    <w:basedOn w:val="Normal"/>
    <w:link w:val="Sangra2detindependienteCar"/>
    <w:rsid w:val="0031014D"/>
    <w:pPr>
      <w:spacing w:after="120" w:line="480" w:lineRule="auto"/>
      <w:ind w:left="360"/>
    </w:pPr>
  </w:style>
  <w:style w:type="character" w:customStyle="1" w:styleId="Sangra2detindependienteCar">
    <w:name w:val="Sangría 2 de t. independiente Car"/>
    <w:link w:val="Sangra2detindependiente"/>
    <w:rsid w:val="0031014D"/>
    <w:rPr>
      <w:rFonts w:ascii="Arial" w:hAnsi="Arial"/>
      <w:sz w:val="22"/>
      <w:szCs w:val="24"/>
      <w:lang w:val="en-GB"/>
    </w:rPr>
  </w:style>
  <w:style w:type="character" w:customStyle="1" w:styleId="PiedepginaCar">
    <w:name w:val="Pie de página Car"/>
    <w:link w:val="Piedepgina"/>
    <w:uiPriority w:val="99"/>
    <w:rsid w:val="0013103E"/>
    <w:rPr>
      <w:rFonts w:ascii="Arial" w:hAnsi="Arial"/>
      <w:sz w:val="22"/>
      <w:szCs w:val="24"/>
      <w:lang w:val="en-GB" w:eastAsia="en-US"/>
    </w:rPr>
  </w:style>
  <w:style w:type="paragraph" w:styleId="Revisin">
    <w:name w:val="Revision"/>
    <w:hidden/>
    <w:uiPriority w:val="71"/>
    <w:rsid w:val="00A60556"/>
    <w:rPr>
      <w:rFonts w:ascii="Arial" w:hAnsi="Arial"/>
      <w:sz w:val="22"/>
      <w:szCs w:val="24"/>
      <w:lang w:val="en-GB" w:eastAsia="en-US"/>
    </w:rPr>
  </w:style>
  <w:style w:type="paragraph" w:styleId="Descripcin">
    <w:name w:val="caption"/>
    <w:basedOn w:val="Normal"/>
    <w:next w:val="Normal"/>
    <w:unhideWhenUsed/>
    <w:qFormat/>
    <w:rsid w:val="00142E80"/>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rsid w:val="00142E80"/>
    <w:pPr>
      <w:pBdr>
        <w:bottom w:val="none" w:sz="0" w:space="0" w:color="auto"/>
      </w:pBdr>
      <w:ind w:firstLine="360"/>
    </w:pPr>
    <w:rPr>
      <w:rFonts w:ascii="Arial" w:hAnsi="Arial"/>
      <w:i w:val="0"/>
      <w:iCs w:val="0"/>
    </w:rPr>
  </w:style>
  <w:style w:type="character" w:customStyle="1" w:styleId="TextoindependienteCar">
    <w:name w:val="Texto independiente Car"/>
    <w:basedOn w:val="Fuentedeprrafopredeter"/>
    <w:link w:val="Textoindependiente"/>
    <w:rsid w:val="00142E80"/>
    <w:rPr>
      <w:rFonts w:ascii="Arial Narrow" w:hAnsi="Arial Narrow"/>
      <w:i/>
      <w:iCs/>
      <w:sz w:val="22"/>
      <w:szCs w:val="24"/>
      <w:lang w:val="en-GB" w:eastAsia="en-US"/>
    </w:rPr>
  </w:style>
  <w:style w:type="character" w:customStyle="1" w:styleId="TextoindependienteprimerasangraCar">
    <w:name w:val="Texto independiente primera sangría Car"/>
    <w:basedOn w:val="TextoindependienteCar"/>
    <w:link w:val="Textoindependienteprimerasangra"/>
    <w:rsid w:val="00142E80"/>
    <w:rPr>
      <w:rFonts w:ascii="Arial" w:hAnsi="Arial"/>
      <w:i w:val="0"/>
      <w:iCs w:val="0"/>
      <w:sz w:val="22"/>
      <w:szCs w:val="24"/>
      <w:lang w:val="en-GB" w:eastAsia="en-US"/>
    </w:rPr>
  </w:style>
  <w:style w:type="paragraph" w:styleId="Textoindependienteprimerasangra2">
    <w:name w:val="Body Text First Indent 2"/>
    <w:basedOn w:val="Sangradetextonormal"/>
    <w:link w:val="Textoindependienteprimerasangra2Car"/>
    <w:rsid w:val="00142E80"/>
    <w:pPr>
      <w:tabs>
        <w:tab w:val="clear" w:pos="360"/>
      </w:tabs>
      <w:ind w:left="360" w:firstLine="360"/>
    </w:pPr>
    <w:rPr>
      <w:b w:val="0"/>
      <w:i w:val="0"/>
      <w:sz w:val="22"/>
      <w:szCs w:val="24"/>
      <w:lang w:val="en-GB"/>
    </w:rPr>
  </w:style>
  <w:style w:type="character" w:customStyle="1" w:styleId="SangradetextonormalCar">
    <w:name w:val="Sangría de texto normal Car"/>
    <w:basedOn w:val="Fuentedeprrafopredeter"/>
    <w:link w:val="Sangradetextonormal"/>
    <w:rsid w:val="00142E80"/>
    <w:rPr>
      <w:rFonts w:ascii="Arial" w:hAnsi="Arial"/>
      <w:b/>
      <w:i/>
      <w:sz w:val="28"/>
      <w:lang w:eastAsia="en-US"/>
    </w:rPr>
  </w:style>
  <w:style w:type="character" w:customStyle="1" w:styleId="Textoindependienteprimerasangra2Car">
    <w:name w:val="Texto independiente primera sangría 2 Car"/>
    <w:basedOn w:val="SangradetextonormalCar"/>
    <w:link w:val="Textoindependienteprimerasangra2"/>
    <w:rsid w:val="00142E80"/>
    <w:rPr>
      <w:rFonts w:ascii="Arial" w:hAnsi="Arial"/>
      <w:b w:val="0"/>
      <w:i w:val="0"/>
      <w:sz w:val="22"/>
      <w:szCs w:val="24"/>
      <w:lang w:val="en-GB" w:eastAsia="en-US"/>
    </w:rPr>
  </w:style>
  <w:style w:type="character" w:styleId="Textodelmarcadordeposicin">
    <w:name w:val="Placeholder Text"/>
    <w:basedOn w:val="Fuentedeprrafopredeter"/>
    <w:uiPriority w:val="99"/>
    <w:semiHidden/>
    <w:rsid w:val="00336923"/>
    <w:rPr>
      <w:color w:val="808080"/>
    </w:rPr>
  </w:style>
  <w:style w:type="character" w:styleId="Mencionar">
    <w:name w:val="Mention"/>
    <w:basedOn w:val="Fuentedeprrafopredeter"/>
    <w:uiPriority w:val="51"/>
    <w:rsid w:val="00A9214C"/>
    <w:rPr>
      <w:color w:val="2B579A"/>
      <w:shd w:val="clear" w:color="auto" w:fill="E1DFDD"/>
    </w:rPr>
  </w:style>
  <w:style w:type="table" w:customStyle="1" w:styleId="Rutntstabell1ljusdekorfrg31">
    <w:name w:val="Rutnätstabell 1 ljus – dekorfärg 31"/>
    <w:basedOn w:val="Tablanormal"/>
    <w:uiPriority w:val="46"/>
    <w:rsid w:val="00151131"/>
    <w:rPr>
      <w:lang w:val="sv-SE" w:eastAsia="sv-S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qFormat/>
    <w:rsid w:val="009A60B5"/>
    <w:pPr>
      <w:spacing w:after="160" w:line="240" w:lineRule="exact"/>
    </w:pPr>
    <w:rPr>
      <w:sz w:val="18"/>
      <w:szCs w:val="20"/>
      <w:vertAlign w:val="superscript"/>
      <w:lang w:val="en-US" w:eastAsia="ja-JP"/>
    </w:rPr>
  </w:style>
  <w:style w:type="character" w:customStyle="1" w:styleId="TextocomentarioCar">
    <w:name w:val="Texto comentario Car"/>
    <w:basedOn w:val="Fuentedeprrafopredeter"/>
    <w:link w:val="Textocomentario"/>
    <w:semiHidden/>
    <w:rsid w:val="00EB2274"/>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3831">
      <w:bodyDiv w:val="1"/>
      <w:marLeft w:val="0"/>
      <w:marRight w:val="0"/>
      <w:marTop w:val="0"/>
      <w:marBottom w:val="0"/>
      <w:divBdr>
        <w:top w:val="none" w:sz="0" w:space="0" w:color="auto"/>
        <w:left w:val="none" w:sz="0" w:space="0" w:color="auto"/>
        <w:bottom w:val="none" w:sz="0" w:space="0" w:color="auto"/>
        <w:right w:val="none" w:sz="0" w:space="0" w:color="auto"/>
      </w:divBdr>
    </w:div>
    <w:div w:id="236936871">
      <w:bodyDiv w:val="1"/>
      <w:marLeft w:val="0"/>
      <w:marRight w:val="0"/>
      <w:marTop w:val="0"/>
      <w:marBottom w:val="0"/>
      <w:divBdr>
        <w:top w:val="none" w:sz="0" w:space="0" w:color="auto"/>
        <w:left w:val="none" w:sz="0" w:space="0" w:color="auto"/>
        <w:bottom w:val="none" w:sz="0" w:space="0" w:color="auto"/>
        <w:right w:val="none" w:sz="0" w:space="0" w:color="auto"/>
      </w:divBdr>
    </w:div>
    <w:div w:id="243489181">
      <w:bodyDiv w:val="1"/>
      <w:marLeft w:val="0"/>
      <w:marRight w:val="0"/>
      <w:marTop w:val="0"/>
      <w:marBottom w:val="0"/>
      <w:divBdr>
        <w:top w:val="none" w:sz="0" w:space="0" w:color="auto"/>
        <w:left w:val="none" w:sz="0" w:space="0" w:color="auto"/>
        <w:bottom w:val="none" w:sz="0" w:space="0" w:color="auto"/>
        <w:right w:val="none" w:sz="0" w:space="0" w:color="auto"/>
      </w:divBdr>
    </w:div>
    <w:div w:id="272372009">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0900253">
      <w:bodyDiv w:val="1"/>
      <w:marLeft w:val="0"/>
      <w:marRight w:val="0"/>
      <w:marTop w:val="0"/>
      <w:marBottom w:val="0"/>
      <w:divBdr>
        <w:top w:val="none" w:sz="0" w:space="0" w:color="auto"/>
        <w:left w:val="none" w:sz="0" w:space="0" w:color="auto"/>
        <w:bottom w:val="none" w:sz="0" w:space="0" w:color="auto"/>
        <w:right w:val="none" w:sz="0" w:space="0" w:color="auto"/>
      </w:divBdr>
    </w:div>
    <w:div w:id="536702041">
      <w:bodyDiv w:val="1"/>
      <w:marLeft w:val="0"/>
      <w:marRight w:val="0"/>
      <w:marTop w:val="0"/>
      <w:marBottom w:val="0"/>
      <w:divBdr>
        <w:top w:val="none" w:sz="0" w:space="0" w:color="auto"/>
        <w:left w:val="none" w:sz="0" w:space="0" w:color="auto"/>
        <w:bottom w:val="none" w:sz="0" w:space="0" w:color="auto"/>
        <w:right w:val="none" w:sz="0" w:space="0" w:color="auto"/>
      </w:divBdr>
    </w:div>
    <w:div w:id="613945837">
      <w:bodyDiv w:val="1"/>
      <w:marLeft w:val="0"/>
      <w:marRight w:val="0"/>
      <w:marTop w:val="0"/>
      <w:marBottom w:val="0"/>
      <w:divBdr>
        <w:top w:val="none" w:sz="0" w:space="0" w:color="auto"/>
        <w:left w:val="none" w:sz="0" w:space="0" w:color="auto"/>
        <w:bottom w:val="none" w:sz="0" w:space="0" w:color="auto"/>
        <w:right w:val="none" w:sz="0" w:space="0" w:color="auto"/>
      </w:divBdr>
    </w:div>
    <w:div w:id="687214677">
      <w:bodyDiv w:val="1"/>
      <w:marLeft w:val="0"/>
      <w:marRight w:val="0"/>
      <w:marTop w:val="0"/>
      <w:marBottom w:val="0"/>
      <w:divBdr>
        <w:top w:val="none" w:sz="0" w:space="0" w:color="auto"/>
        <w:left w:val="none" w:sz="0" w:space="0" w:color="auto"/>
        <w:bottom w:val="none" w:sz="0" w:space="0" w:color="auto"/>
        <w:right w:val="none" w:sz="0" w:space="0" w:color="auto"/>
      </w:divBdr>
    </w:div>
    <w:div w:id="693919156">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26091871">
      <w:bodyDiv w:val="1"/>
      <w:marLeft w:val="0"/>
      <w:marRight w:val="0"/>
      <w:marTop w:val="0"/>
      <w:marBottom w:val="0"/>
      <w:divBdr>
        <w:top w:val="none" w:sz="0" w:space="0" w:color="auto"/>
        <w:left w:val="none" w:sz="0" w:space="0" w:color="auto"/>
        <w:bottom w:val="none" w:sz="0" w:space="0" w:color="auto"/>
        <w:right w:val="none" w:sz="0" w:space="0" w:color="auto"/>
      </w:divBdr>
    </w:div>
    <w:div w:id="898393920">
      <w:bodyDiv w:val="1"/>
      <w:marLeft w:val="0"/>
      <w:marRight w:val="0"/>
      <w:marTop w:val="0"/>
      <w:marBottom w:val="0"/>
      <w:divBdr>
        <w:top w:val="none" w:sz="0" w:space="0" w:color="auto"/>
        <w:left w:val="none" w:sz="0" w:space="0" w:color="auto"/>
        <w:bottom w:val="none" w:sz="0" w:space="0" w:color="auto"/>
        <w:right w:val="none" w:sz="0" w:space="0" w:color="auto"/>
      </w:divBdr>
    </w:div>
    <w:div w:id="950434613">
      <w:bodyDiv w:val="1"/>
      <w:marLeft w:val="0"/>
      <w:marRight w:val="0"/>
      <w:marTop w:val="0"/>
      <w:marBottom w:val="0"/>
      <w:divBdr>
        <w:top w:val="none" w:sz="0" w:space="0" w:color="auto"/>
        <w:left w:val="none" w:sz="0" w:space="0" w:color="auto"/>
        <w:bottom w:val="none" w:sz="0" w:space="0" w:color="auto"/>
        <w:right w:val="none" w:sz="0" w:space="0" w:color="auto"/>
      </w:divBdr>
    </w:div>
    <w:div w:id="951087126">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4890188">
      <w:bodyDiv w:val="1"/>
      <w:marLeft w:val="0"/>
      <w:marRight w:val="0"/>
      <w:marTop w:val="0"/>
      <w:marBottom w:val="0"/>
      <w:divBdr>
        <w:top w:val="none" w:sz="0" w:space="0" w:color="auto"/>
        <w:left w:val="none" w:sz="0" w:space="0" w:color="auto"/>
        <w:bottom w:val="none" w:sz="0" w:space="0" w:color="auto"/>
        <w:right w:val="none" w:sz="0" w:space="0" w:color="auto"/>
      </w:divBdr>
    </w:div>
    <w:div w:id="999192662">
      <w:bodyDiv w:val="1"/>
      <w:marLeft w:val="0"/>
      <w:marRight w:val="0"/>
      <w:marTop w:val="0"/>
      <w:marBottom w:val="0"/>
      <w:divBdr>
        <w:top w:val="none" w:sz="0" w:space="0" w:color="auto"/>
        <w:left w:val="none" w:sz="0" w:space="0" w:color="auto"/>
        <w:bottom w:val="none" w:sz="0" w:space="0" w:color="auto"/>
        <w:right w:val="none" w:sz="0" w:space="0" w:color="auto"/>
      </w:divBdr>
    </w:div>
    <w:div w:id="1072192219">
      <w:bodyDiv w:val="1"/>
      <w:marLeft w:val="0"/>
      <w:marRight w:val="0"/>
      <w:marTop w:val="0"/>
      <w:marBottom w:val="0"/>
      <w:divBdr>
        <w:top w:val="none" w:sz="0" w:space="0" w:color="auto"/>
        <w:left w:val="none" w:sz="0" w:space="0" w:color="auto"/>
        <w:bottom w:val="none" w:sz="0" w:space="0" w:color="auto"/>
        <w:right w:val="none" w:sz="0" w:space="0" w:color="auto"/>
      </w:divBdr>
    </w:div>
    <w:div w:id="1131442456">
      <w:bodyDiv w:val="1"/>
      <w:marLeft w:val="0"/>
      <w:marRight w:val="0"/>
      <w:marTop w:val="0"/>
      <w:marBottom w:val="0"/>
      <w:divBdr>
        <w:top w:val="none" w:sz="0" w:space="0" w:color="auto"/>
        <w:left w:val="none" w:sz="0" w:space="0" w:color="auto"/>
        <w:bottom w:val="none" w:sz="0" w:space="0" w:color="auto"/>
        <w:right w:val="none" w:sz="0" w:space="0" w:color="auto"/>
      </w:divBdr>
    </w:div>
    <w:div w:id="1208300498">
      <w:bodyDiv w:val="1"/>
      <w:marLeft w:val="0"/>
      <w:marRight w:val="0"/>
      <w:marTop w:val="0"/>
      <w:marBottom w:val="0"/>
      <w:divBdr>
        <w:top w:val="none" w:sz="0" w:space="0" w:color="auto"/>
        <w:left w:val="none" w:sz="0" w:space="0" w:color="auto"/>
        <w:bottom w:val="none" w:sz="0" w:space="0" w:color="auto"/>
        <w:right w:val="none" w:sz="0" w:space="0" w:color="auto"/>
      </w:divBdr>
    </w:div>
    <w:div w:id="1241713606">
      <w:bodyDiv w:val="1"/>
      <w:marLeft w:val="0"/>
      <w:marRight w:val="0"/>
      <w:marTop w:val="0"/>
      <w:marBottom w:val="0"/>
      <w:divBdr>
        <w:top w:val="none" w:sz="0" w:space="0" w:color="auto"/>
        <w:left w:val="none" w:sz="0" w:space="0" w:color="auto"/>
        <w:bottom w:val="none" w:sz="0" w:space="0" w:color="auto"/>
        <w:right w:val="none" w:sz="0" w:space="0" w:color="auto"/>
      </w:divBdr>
    </w:div>
    <w:div w:id="1316911660">
      <w:bodyDiv w:val="1"/>
      <w:marLeft w:val="0"/>
      <w:marRight w:val="0"/>
      <w:marTop w:val="0"/>
      <w:marBottom w:val="0"/>
      <w:divBdr>
        <w:top w:val="none" w:sz="0" w:space="0" w:color="auto"/>
        <w:left w:val="none" w:sz="0" w:space="0" w:color="auto"/>
        <w:bottom w:val="none" w:sz="0" w:space="0" w:color="auto"/>
        <w:right w:val="none" w:sz="0" w:space="0" w:color="auto"/>
      </w:divBdr>
    </w:div>
    <w:div w:id="140263198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31471054">
      <w:bodyDiv w:val="1"/>
      <w:marLeft w:val="0"/>
      <w:marRight w:val="0"/>
      <w:marTop w:val="0"/>
      <w:marBottom w:val="0"/>
      <w:divBdr>
        <w:top w:val="none" w:sz="0" w:space="0" w:color="auto"/>
        <w:left w:val="none" w:sz="0" w:space="0" w:color="auto"/>
        <w:bottom w:val="none" w:sz="0" w:space="0" w:color="auto"/>
        <w:right w:val="none" w:sz="0" w:space="0" w:color="auto"/>
      </w:divBdr>
    </w:div>
    <w:div w:id="163147535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785608">
      <w:bodyDiv w:val="1"/>
      <w:marLeft w:val="0"/>
      <w:marRight w:val="0"/>
      <w:marTop w:val="0"/>
      <w:marBottom w:val="0"/>
      <w:divBdr>
        <w:top w:val="none" w:sz="0" w:space="0" w:color="auto"/>
        <w:left w:val="none" w:sz="0" w:space="0" w:color="auto"/>
        <w:bottom w:val="none" w:sz="0" w:space="0" w:color="auto"/>
        <w:right w:val="none" w:sz="0" w:space="0" w:color="auto"/>
      </w:divBdr>
    </w:div>
    <w:div w:id="21093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open?id=1XXPrfNuUIhmhUAThQrmP50oXTOHs7HMX&amp;usp=drive_fs" TargetMode="External"/><Relationship Id="rId21" Type="http://schemas.openxmlformats.org/officeDocument/2006/relationships/hyperlink" Target="https://drive.google.com/drive/folders/1JQYv3ujRL5bOCVFa_QnDM5udoyjFCiSe?usp=sharing" TargetMode="External"/><Relationship Id="rId42" Type="http://schemas.openxmlformats.org/officeDocument/2006/relationships/hyperlink" Target="https://drive.google.com/open?id=1ppzqMkfK3pppMaKXSNMR_bKgteS-pemA&amp;usp=drive_fs" TargetMode="External"/><Relationship Id="rId47" Type="http://schemas.openxmlformats.org/officeDocument/2006/relationships/hyperlink" Target="https://drive.google.com/open?id=1vj6qJaCkLV5nQGrL-LvY5w-ZtRxTS1u7&amp;usp=drive_fs" TargetMode="External"/><Relationship Id="rId63" Type="http://schemas.openxmlformats.org/officeDocument/2006/relationships/hyperlink" Target="https://drive.google.com/open?id=1hiEHlPT7HUcSQ2p22K0gYcLGmPhIthLm&amp;usp=drive_fs" TargetMode="External"/><Relationship Id="rId68"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drive.google.com/open?id=1Mkfg0xDiSVziu_jxkMPEeCKVcJ7xyk79&amp;usp=drive_fs" TargetMode="External"/><Relationship Id="rId11" Type="http://schemas.openxmlformats.org/officeDocument/2006/relationships/image" Target="media/image1.png"/><Relationship Id="rId24" Type="http://schemas.openxmlformats.org/officeDocument/2006/relationships/hyperlink" Target="https://drive.google.com/open?id=1QmY_lGQZECHwTLWsrTEF0Me8a7X0whZ3&amp;usp=drive_fs" TargetMode="External"/><Relationship Id="rId32" Type="http://schemas.openxmlformats.org/officeDocument/2006/relationships/hyperlink" Target="https://drive.google.com/open?id=1Y2OLhqZ6i6yWK2Gd73qYQeclT1cpxOCi&amp;usp=drive_fs" TargetMode="External"/><Relationship Id="rId37" Type="http://schemas.openxmlformats.org/officeDocument/2006/relationships/hyperlink" Target="https://drive.google.com/open?id=1rVat9gImwVSF88jpy7ZzjJby-ykr4QWj&amp;usp=drive_fs" TargetMode="External"/><Relationship Id="rId40" Type="http://schemas.openxmlformats.org/officeDocument/2006/relationships/hyperlink" Target="https://drive.google.com/open?id=1f8tLgPFDh0eloBuuD-8VhaDIFag6qnj3&amp;usp=drive_fs" TargetMode="External"/><Relationship Id="rId45" Type="http://schemas.openxmlformats.org/officeDocument/2006/relationships/hyperlink" Target="https://drive.google.com/open?id=1HaT9jd2y3TX2LFF70lNm7qVvOgORwz0P&amp;usp=drive_fs" TargetMode="External"/><Relationship Id="rId53" Type="http://schemas.openxmlformats.org/officeDocument/2006/relationships/hyperlink" Target="https://drive.google.com/open?id=1XZTR_9Ojk99HxXlVoBtRr3QM8t3lu0yA&amp;usp=drive_fs" TargetMode="External"/><Relationship Id="rId58" Type="http://schemas.openxmlformats.org/officeDocument/2006/relationships/hyperlink" Target="https://drive.google.com/open?id=1bR_M0wgPmp_MBvXZInPS8Nsr8Z9127kN&amp;usp=drive_fs" TargetMode="External"/><Relationship Id="rId66" Type="http://schemas.openxmlformats.org/officeDocument/2006/relationships/hyperlink" Target="https://drive.google.com/open?id=1_zANkXnusBhH76LSIx8-0di4kBFGpeIA&amp;usp=drive_fs" TargetMode="External"/><Relationship Id="rId5" Type="http://schemas.openxmlformats.org/officeDocument/2006/relationships/numbering" Target="numbering.xml"/><Relationship Id="rId61" Type="http://schemas.openxmlformats.org/officeDocument/2006/relationships/hyperlink" Target="https://drive.google.com/open?id=1DsrWrog2S3I24NMe8seYJmAU14pjz_8q&amp;usp=drive_fs" TargetMode="External"/><Relationship Id="rId19" Type="http://schemas.openxmlformats.org/officeDocument/2006/relationships/hyperlink" Target="https://drive.google.com/drive/folders/1vT9S4qtUly2dbJghApdJcUusDrxUPzhE?usp=sharing" TargetMode="External"/><Relationship Id="rId14" Type="http://schemas.openxmlformats.org/officeDocument/2006/relationships/comments" Target="comments.xml"/><Relationship Id="rId22" Type="http://schemas.openxmlformats.org/officeDocument/2006/relationships/hyperlink" Target="https://drive.google.com/open?id=1U64If1y0CQO0ZdSI8ceKDz35WOKBU42s&amp;usp=drive_fs" TargetMode="External"/><Relationship Id="rId27" Type="http://schemas.openxmlformats.org/officeDocument/2006/relationships/hyperlink" Target="https://drive.google.com/drive/folders/1QoSKQQ4aUIByeTm5I2RiVmuFANq0lWPd?usp=sharing" TargetMode="External"/><Relationship Id="rId30" Type="http://schemas.openxmlformats.org/officeDocument/2006/relationships/hyperlink" Target="https://drive.google.com/open?id=1WSLtox3iJbYntqp35nMoccLQRbFZvRN8&amp;usp=drive_fs" TargetMode="External"/><Relationship Id="rId35" Type="http://schemas.openxmlformats.org/officeDocument/2006/relationships/hyperlink" Target="https://drive.google.com/drive/folders/1WNYNkF0R3itRt0kuG3fQzkIH20lPzU8h?usp=sharing" TargetMode="External"/><Relationship Id="rId43" Type="http://schemas.openxmlformats.org/officeDocument/2006/relationships/hyperlink" Target="https://drive.google.com/open?id=1Sy3Pd3FjXoJALXKtokAJdhIF9L74Rlgf&amp;usp=drive_fs" TargetMode="External"/><Relationship Id="rId48" Type="http://schemas.openxmlformats.org/officeDocument/2006/relationships/hyperlink" Target="https://drive.google.com/open?id=1n0TnY2oB7SqymuXvTMLSHvE3aevy3Wu5&amp;usp=drive_fs" TargetMode="External"/><Relationship Id="rId56" Type="http://schemas.openxmlformats.org/officeDocument/2006/relationships/hyperlink" Target="https://drive.google.com/drive/folders/1iaRlCgB-kH7Y2nCNkR5LuvTeB8gLOT-h?usp=sharing" TargetMode="External"/><Relationship Id="rId64" Type="http://schemas.openxmlformats.org/officeDocument/2006/relationships/hyperlink" Target="https://drive.google.com/open?id=1-itAUlbWQe5Se50cvzCiE49MFUh_33pB&amp;usp=drive_fs"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rive.google.com/open?id=1pNUgPxBp4Hhl0pW4PGx8vKYYbamHmqh6&amp;usp=drive_fs" TargetMode="External"/><Relationship Id="rId3" Type="http://schemas.openxmlformats.org/officeDocument/2006/relationships/customXml" Target="../customXml/item3.xml"/><Relationship Id="rId12" Type="http://schemas.openxmlformats.org/officeDocument/2006/relationships/footer" Target="footer1.xml"/><Relationship Id="rId17" Type="http://schemas.microsoft.com/office/2018/08/relationships/commentsExtensible" Target="commentsExtensible.xml"/><Relationship Id="rId25" Type="http://schemas.openxmlformats.org/officeDocument/2006/relationships/hyperlink" Target="https://drive.google.com/open?id=1PJyVqR7v4zDT95vh5M1wPcn9HeKmgOQj&amp;usp=drive_fs" TargetMode="External"/><Relationship Id="rId33" Type="http://schemas.openxmlformats.org/officeDocument/2006/relationships/hyperlink" Target="https://drive.google.com/open?id=1WkwWPKxPGlw9inEMrTvb6bLs5yDT2e5j&amp;usp=drive_fs" TargetMode="External"/><Relationship Id="rId38" Type="http://schemas.openxmlformats.org/officeDocument/2006/relationships/hyperlink" Target="https://drive.google.com/open?id=1atOZxVJZpxpjTRa0fcKwrtG_IOtu7b5O&amp;usp=drive_fs" TargetMode="External"/><Relationship Id="rId46" Type="http://schemas.openxmlformats.org/officeDocument/2006/relationships/hyperlink" Target="https://drive.google.com/open?id=1poKVybKajiPIpDvgFwwDnFoiuDkh5HsL&amp;usp=drive_fs" TargetMode="External"/><Relationship Id="rId59" Type="http://schemas.openxmlformats.org/officeDocument/2006/relationships/hyperlink" Target="https://drive.google.com/open?id=1VM6tFk-WwZGJvxqynoKttaxbeOcP3SPL&amp;usp=drive_fs" TargetMode="External"/><Relationship Id="rId67" Type="http://schemas.openxmlformats.org/officeDocument/2006/relationships/fontTable" Target="fontTable.xml"/><Relationship Id="rId20" Type="http://schemas.openxmlformats.org/officeDocument/2006/relationships/hyperlink" Target="https://drive.google.com/drive/folders/1rVat9gImwVSF88jpy7ZzjJby-ykr4QWj?usp=sharing" TargetMode="External"/><Relationship Id="rId41" Type="http://schemas.openxmlformats.org/officeDocument/2006/relationships/hyperlink" Target="https://drive.google.com/open?id=11j5EoS7jaxcIbiHKIcg2slJiT03amdHG&amp;usp=drive_fs" TargetMode="External"/><Relationship Id="rId54" Type="http://schemas.openxmlformats.org/officeDocument/2006/relationships/hyperlink" Target="https://drive.google.com/open?id=1pJi9Yd3F4EarC1l7TDUNdR82WVtZeVGl&amp;usp=drive_fs" TargetMode="External"/><Relationship Id="rId62" Type="http://schemas.openxmlformats.org/officeDocument/2006/relationships/hyperlink" Target="https://drive.google.com/open?id=1eheGFUlhzF6uLaApbiFwQxnHz9P0svUJ&amp;usp=drive_fs" TargetMode="Externa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hyperlink" Target="https://drive.google.com/open?id=1OxZygSsht2LAEhhb3qJNZXZP8c7KB2a8&amp;usp=drive_fs" TargetMode="External"/><Relationship Id="rId28" Type="http://schemas.openxmlformats.org/officeDocument/2006/relationships/hyperlink" Target="https://drive.google.com/open?id=1z2k5Km0rOBNpxV7REPTzcumx2P6Egslq&amp;usp=drive_fs" TargetMode="External"/><Relationship Id="rId36" Type="http://schemas.openxmlformats.org/officeDocument/2006/relationships/hyperlink" Target="https://drive.google.com/drive/folders/1eN3u6XKU1eU3wpfk78ml36-nqqRuOCZR?usp=sharing" TargetMode="External"/><Relationship Id="rId49" Type="http://schemas.openxmlformats.org/officeDocument/2006/relationships/hyperlink" Target="https://drive.google.com/open?id=18U7k2Vk5X5vHS-9aOo_uP0ZlHatqnVa1&amp;usp=drive_fs" TargetMode="External"/><Relationship Id="rId57" Type="http://schemas.openxmlformats.org/officeDocument/2006/relationships/hyperlink" Target="https://www.folur.org/knowledge/peru-deforestation-free-commodity-supply-chains-peruvian-amazon" TargetMode="External"/><Relationship Id="rId10" Type="http://schemas.openxmlformats.org/officeDocument/2006/relationships/endnotes" Target="endnotes.xml"/><Relationship Id="rId31" Type="http://schemas.openxmlformats.org/officeDocument/2006/relationships/hyperlink" Target="https://drive.google.com/drive/folders/14mi47px5i--o3rEqRVrzuCWVc8_m55QV?usp=sharing" TargetMode="External"/><Relationship Id="rId44" Type="http://schemas.openxmlformats.org/officeDocument/2006/relationships/hyperlink" Target="https://drive.google.com/open?id=1iMsCf0_L2Jcc_BRJIpTnmjtmy8VC5Eeq&amp;usp=drive_fs" TargetMode="External"/><Relationship Id="rId52" Type="http://schemas.openxmlformats.org/officeDocument/2006/relationships/hyperlink" Target="https://drive.google.com/open?id=1yD4Vxu-cSPAgBy4t98tIA12_HNt-Dwrz&amp;usp=drive_fs" TargetMode="External"/><Relationship Id="rId60" Type="http://schemas.openxmlformats.org/officeDocument/2006/relationships/hyperlink" Target="https://drive.google.com/open?id=1DsrWrog2S3I24NMe8seYJmAU14pjz_8q&amp;usp=drive_fs" TargetMode="External"/><Relationship Id="rId65" Type="http://schemas.openxmlformats.org/officeDocument/2006/relationships/hyperlink" Target="https://drive.google.com/open?id=1Azga_rsW3PJwO9YJi3T1QkpGBRfhpglX&amp;usp=drive_f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drive.google.com/drive/folders/15FfTIaBMPWgo3bBxlWrABBAX-21zep9x?usp=sharing" TargetMode="External"/><Relationship Id="rId39" Type="http://schemas.openxmlformats.org/officeDocument/2006/relationships/hyperlink" Target="https://drive.google.com/open?id=1FFXUvvsaPFAFsxkhtZca8N1iEHD_6Vom&amp;usp=drive_fs" TargetMode="External"/><Relationship Id="rId34" Type="http://schemas.openxmlformats.org/officeDocument/2006/relationships/hyperlink" Target="https://drive.google.com/open?id=1fh2StzlvvIw2GRr7K5DVNr32d8DUwXOn&amp;usp=drive_fs" TargetMode="External"/><Relationship Id="rId50" Type="http://schemas.openxmlformats.org/officeDocument/2006/relationships/hyperlink" Target="https://drive.google.com/open?id=16P_A2cLB6vDk6EXP7iIDcnhixeVYaDsf&amp;usp=drive_fs" TargetMode="External"/><Relationship Id="rId55" Type="http://schemas.openxmlformats.org/officeDocument/2006/relationships/hyperlink" Target="https://drive.google.com/open?id=1dl_aK098IxVn5VOQFLy274UID1FeIov7&amp;usp=drive_fs" TargetMode="External"/></Relationships>
</file>

<file path=word/_rels/footnotes.xml.rels><?xml version="1.0" encoding="UTF-8" standalone="yes"?>
<Relationships xmlns="http://schemas.openxmlformats.org/package/2006/relationships"><Relationship Id="rId8" Type="http://schemas.openxmlformats.org/officeDocument/2006/relationships/image" Target="media/image9.wmf"/><Relationship Id="rId13" Type="http://schemas.openxmlformats.org/officeDocument/2006/relationships/image" Target="media/image14.wmf"/><Relationship Id="rId18" Type="http://schemas.openxmlformats.org/officeDocument/2006/relationships/image" Target="media/image19.wmf"/><Relationship Id="rId3" Type="http://schemas.openxmlformats.org/officeDocument/2006/relationships/image" Target="media/image4.wmf"/><Relationship Id="rId21" Type="http://schemas.openxmlformats.org/officeDocument/2006/relationships/image" Target="media/image22.wmf"/><Relationship Id="rId7" Type="http://schemas.openxmlformats.org/officeDocument/2006/relationships/image" Target="media/image8.wmf"/><Relationship Id="rId12" Type="http://schemas.openxmlformats.org/officeDocument/2006/relationships/image" Target="media/image13.wmf"/><Relationship Id="rId17" Type="http://schemas.openxmlformats.org/officeDocument/2006/relationships/image" Target="media/image18.wmf"/><Relationship Id="rId2" Type="http://schemas.openxmlformats.org/officeDocument/2006/relationships/image" Target="media/image3.wmf"/><Relationship Id="rId16" Type="http://schemas.openxmlformats.org/officeDocument/2006/relationships/image" Target="media/image17.wmf"/><Relationship Id="rId20" Type="http://schemas.openxmlformats.org/officeDocument/2006/relationships/image" Target="media/image21.wmf"/><Relationship Id="rId1" Type="http://schemas.openxmlformats.org/officeDocument/2006/relationships/image" Target="media/image2.wmf"/><Relationship Id="rId6" Type="http://schemas.openxmlformats.org/officeDocument/2006/relationships/image" Target="media/image7.wmf"/><Relationship Id="rId11" Type="http://schemas.openxmlformats.org/officeDocument/2006/relationships/image" Target="media/image12.wmf"/><Relationship Id="rId5" Type="http://schemas.openxmlformats.org/officeDocument/2006/relationships/image" Target="media/image6.wmf"/><Relationship Id="rId15" Type="http://schemas.openxmlformats.org/officeDocument/2006/relationships/image" Target="media/image16.wmf"/><Relationship Id="rId23" Type="http://schemas.openxmlformats.org/officeDocument/2006/relationships/hyperlink" Target="https://www.undp.org/es/peru/publications/documento-de-programa-pa%C3%ADs-2022-2026" TargetMode="External"/><Relationship Id="rId10" Type="http://schemas.openxmlformats.org/officeDocument/2006/relationships/image" Target="media/image11.wmf"/><Relationship Id="rId19" Type="http://schemas.openxmlformats.org/officeDocument/2006/relationships/image" Target="media/image20.wmf"/><Relationship Id="rId4" Type="http://schemas.openxmlformats.org/officeDocument/2006/relationships/image" Target="media/image5.wmf"/><Relationship Id="rId9" Type="http://schemas.openxmlformats.org/officeDocument/2006/relationships/image" Target="media/image10.wmf"/><Relationship Id="rId14" Type="http://schemas.openxmlformats.org/officeDocument/2006/relationships/image" Target="media/image15.wmf"/><Relationship Id="rId22" Type="http://schemas.openxmlformats.org/officeDocument/2006/relationships/image" Target="media/image2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B0522 - Peru - Lima</OfficeCountry>
    <DocumentStatus xmlns="d9cf0e28-81d2-4dc7-8b10-820d80ed680d">Approved</DocumentStatus>
    <DocCoverageEndDate xmlns="d9cf0e28-81d2-4dc7-8b10-820d80ed680d">2025-09-20T04:00:00+00:00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Reporte Anual 2025</FileNameDescription>
    <ProjectNumber xmlns="d9cf0e28-81d2-4dc7-8b10-820d80ed680d">00114026</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UNDP-PER</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00112238</OutputNumb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0F7E79-6278-4805-9F8A-DA73D3E04F50}"/>
</file>

<file path=customXml/itemProps2.xml><?xml version="1.0" encoding="utf-8"?>
<ds:datastoreItem xmlns:ds="http://schemas.openxmlformats.org/officeDocument/2006/customXml" ds:itemID="{201E230C-C802-4DD6-802B-618D92FD4047}">
  <ds:schemaRefs>
    <ds:schemaRef ds:uri="http://schemas.openxmlformats.org/officeDocument/2006/bibliography"/>
  </ds:schemaRefs>
</ds:datastoreItem>
</file>

<file path=customXml/itemProps3.xml><?xml version="1.0" encoding="utf-8"?>
<ds:datastoreItem xmlns:ds="http://schemas.openxmlformats.org/officeDocument/2006/customXml" ds:itemID="{858080D9-0DC0-4D58-90ED-63B632B4DEAD}">
  <ds:schemaRefs>
    <ds:schemaRef ds:uri="http://schemas.microsoft.com/office/2006/metadata/properties"/>
    <ds:schemaRef ds:uri="http://schemas.microsoft.com/office/infopath/2007/PartnerControls"/>
    <ds:schemaRef ds:uri="8c89bb72-393d-4a05-9069-f1b80e9d0467"/>
    <ds:schemaRef ds:uri="fa45e5f2-bcf1-4596-a7c4-d77a4fd77737"/>
  </ds:schemaRefs>
</ds:datastoreItem>
</file>

<file path=customXml/itemProps4.xml><?xml version="1.0" encoding="utf-8"?>
<ds:datastoreItem xmlns:ds="http://schemas.openxmlformats.org/officeDocument/2006/customXml" ds:itemID="{13CFFC8C-1A97-4F67-AAA4-61877233D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123</Pages>
  <Words>40505</Words>
  <Characters>222781</Characters>
  <Application>Microsoft Office Word</Application>
  <DocSecurity>0</DocSecurity>
  <Lines>1856</Lines>
  <Paragraphs>525</Paragraphs>
  <ScaleCrop>false</ScaleCrop>
  <HeadingPairs>
    <vt:vector size="2" baseType="variant">
      <vt:variant>
        <vt:lpstr>Título</vt:lpstr>
      </vt:variant>
      <vt:variant>
        <vt:i4>1</vt:i4>
      </vt:variant>
    </vt:vector>
  </HeadingPairs>
  <TitlesOfParts>
    <vt:vector size="1" baseType="lpstr">
      <vt:lpstr>Project Document - Deliverable Description</vt:lpstr>
    </vt:vector>
  </TitlesOfParts>
  <Manager>BDP/BOM</Manager>
  <Company>UNDP</Company>
  <LinksUpToDate>false</LinksUpToDate>
  <CharactersWithSpaces>262761</CharactersWithSpaces>
  <SharedDoc>false</SharedDoc>
  <HLinks>
    <vt:vector size="6" baseType="variant">
      <vt:variant>
        <vt:i4>3407920</vt:i4>
      </vt:variant>
      <vt:variant>
        <vt:i4>0</vt:i4>
      </vt:variant>
      <vt:variant>
        <vt:i4>0</vt:i4>
      </vt:variant>
      <vt:variant>
        <vt:i4>5</vt:i4>
      </vt:variant>
      <vt:variant>
        <vt:lpwstr>https://www.undp.org/es/peru/publications/documento-de-programa-pa%C3%ADs-2022-2026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Anual 2025</dc:title>
  <dc:subject>Project Management</dc:subject>
  <dc:creator>Lucero Abarca</dc:creator>
  <cp:keywords/>
  <dc:description/>
  <cp:lastModifiedBy>Claudia Karina Santos Galindo</cp:lastModifiedBy>
  <cp:revision>2</cp:revision>
  <cp:lastPrinted>2017-11-14T16:07:00Z</cp:lastPrinted>
  <dcterms:created xsi:type="dcterms:W3CDTF">2026-03-27T15:43:00Z</dcterms:created>
  <dcterms:modified xsi:type="dcterms:W3CDTF">2026-03-27T15:43:00Z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